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4E" w:rsidRDefault="00A0334E" w:rsidP="008C2BED">
      <w:pPr>
        <w:rPr>
          <w:b/>
          <w:sz w:val="28"/>
          <w:szCs w:val="28"/>
        </w:rPr>
      </w:pPr>
    </w:p>
    <w:p w:rsidR="00215EA9" w:rsidRDefault="00215EA9" w:rsidP="008C2BED">
      <w:pPr>
        <w:rPr>
          <w:b/>
          <w:sz w:val="28"/>
          <w:szCs w:val="28"/>
        </w:rPr>
      </w:pPr>
    </w:p>
    <w:p w:rsidR="00215EA9" w:rsidRPr="00215EA9" w:rsidRDefault="00215EA9" w:rsidP="008C2BED">
      <w:pPr>
        <w:rPr>
          <w:b/>
          <w:sz w:val="16"/>
          <w:szCs w:val="16"/>
        </w:rPr>
      </w:pPr>
    </w:p>
    <w:p w:rsidR="008C2BED" w:rsidRPr="00BF5DAC" w:rsidRDefault="00522915" w:rsidP="00522915">
      <w:pPr>
        <w:jc w:val="center"/>
      </w:pPr>
      <w:r>
        <w:rPr>
          <w:rFonts w:cs="Arial"/>
          <w:sz w:val="72"/>
          <w:szCs w:val="72"/>
        </w:rPr>
        <w:t>Accessibility Plan</w:t>
      </w:r>
    </w:p>
    <w:p w:rsidR="00BF5DAC" w:rsidRPr="005E13BE" w:rsidRDefault="008C2BED" w:rsidP="005E13BE">
      <w:pPr>
        <w:jc w:val="center"/>
        <w:rPr>
          <w:rFonts w:cs="Arial"/>
          <w:sz w:val="28"/>
          <w:szCs w:val="28"/>
        </w:rPr>
      </w:pPr>
      <w:r w:rsidRPr="00F53CC8">
        <w:rPr>
          <w:rFonts w:cs="Arial"/>
          <w:noProof/>
          <w:sz w:val="28"/>
          <w:szCs w:val="28"/>
        </w:rPr>
        <w:drawing>
          <wp:inline distT="0" distB="0" distL="0" distR="0" wp14:anchorId="4BF92B14" wp14:editId="30F6690C">
            <wp:extent cx="3103245" cy="1478280"/>
            <wp:effectExtent l="0" t="0" r="1905" b="762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5"/>
                    <a:stretch/>
                  </pic:blipFill>
                  <pic:spPr bwMode="auto">
                    <a:xfrm>
                      <a:off x="0" y="0"/>
                      <a:ext cx="31032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31C8" w:rsidRPr="003725BD" w:rsidRDefault="00F531C8" w:rsidP="00BF5DA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 xml:space="preserve">Author’s Name: </w:t>
            </w:r>
          </w:p>
        </w:tc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>
              <w:rPr>
                <w:rFonts w:cs="Arial"/>
              </w:rPr>
              <w:t>Mr. N.</w:t>
            </w:r>
            <w:r w:rsidRPr="009B7134">
              <w:rPr>
                <w:rFonts w:cs="Arial"/>
              </w:rPr>
              <w:t xml:space="preserve"> Houchen</w:t>
            </w: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  <w:r w:rsidRPr="009B7134">
              <w:rPr>
                <w:rFonts w:cs="Arial"/>
              </w:rPr>
              <w:t>Date Reviewed</w:t>
            </w:r>
          </w:p>
        </w:tc>
        <w:tc>
          <w:tcPr>
            <w:tcW w:w="4428" w:type="dxa"/>
          </w:tcPr>
          <w:p w:rsidR="008C2BED" w:rsidRPr="009B7134" w:rsidRDefault="00215EA9" w:rsidP="00A03E00">
            <w:pPr>
              <w:rPr>
                <w:rFonts w:cs="Arial"/>
              </w:rPr>
            </w:pPr>
            <w:r>
              <w:rPr>
                <w:rFonts w:cs="Arial"/>
              </w:rPr>
              <w:t>June 2017</w:t>
            </w: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8C2BED" w:rsidRPr="009B7134" w:rsidRDefault="000B1AE1" w:rsidP="00A03E00">
            <w:pPr>
              <w:rPr>
                <w:rFonts w:cs="Arial"/>
              </w:rPr>
            </w:pPr>
            <w:r>
              <w:rPr>
                <w:rFonts w:cs="Arial"/>
              </w:rPr>
              <w:t>Date Ratified by Trust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  <w:shd w:val="pct12" w:color="auto" w:fill="auto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  <w:tc>
          <w:tcPr>
            <w:tcW w:w="4428" w:type="dxa"/>
            <w:shd w:val="pct12" w:color="auto" w:fill="auto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0B1AE1" w:rsidP="00A03E00">
            <w:pPr>
              <w:rPr>
                <w:rFonts w:cs="Arial"/>
              </w:rPr>
            </w:pPr>
            <w:r>
              <w:rPr>
                <w:rFonts w:cs="Arial"/>
              </w:rPr>
              <w:t>Signature of CEO</w:t>
            </w:r>
          </w:p>
        </w:tc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  <w:tr w:rsidR="008C2BED" w:rsidRPr="009B7134" w:rsidTr="00A03E00">
        <w:trPr>
          <w:jc w:val="center"/>
        </w:trPr>
        <w:tc>
          <w:tcPr>
            <w:tcW w:w="4428" w:type="dxa"/>
          </w:tcPr>
          <w:p w:rsidR="008C2BED" w:rsidRPr="009B7134" w:rsidRDefault="000B1AE1" w:rsidP="00A03E00">
            <w:pPr>
              <w:rPr>
                <w:rFonts w:cs="Arial"/>
              </w:rPr>
            </w:pPr>
            <w:r>
              <w:rPr>
                <w:rFonts w:cs="Arial"/>
              </w:rPr>
              <w:t>Signature of Chair of Trust</w:t>
            </w:r>
          </w:p>
        </w:tc>
        <w:tc>
          <w:tcPr>
            <w:tcW w:w="4428" w:type="dxa"/>
          </w:tcPr>
          <w:p w:rsidR="008C2BED" w:rsidRPr="009B7134" w:rsidRDefault="008C2BED" w:rsidP="00A03E00">
            <w:pPr>
              <w:rPr>
                <w:rFonts w:cs="Arial"/>
              </w:rPr>
            </w:pPr>
          </w:p>
        </w:tc>
      </w:tr>
    </w:tbl>
    <w:p w:rsidR="008C2BED" w:rsidRPr="009B7134" w:rsidRDefault="008C2BED" w:rsidP="008C2BED">
      <w:pPr>
        <w:rPr>
          <w:rFonts w:cs="Arial"/>
        </w:rPr>
      </w:pPr>
    </w:p>
    <w:p w:rsidR="008C2BED" w:rsidRDefault="008C2BED" w:rsidP="008C2BED">
      <w:pPr>
        <w:rPr>
          <w:rFonts w:cs="Arial"/>
          <w:sz w:val="28"/>
          <w:szCs w:val="28"/>
        </w:rPr>
      </w:pPr>
    </w:p>
    <w:p w:rsidR="007A0254" w:rsidRDefault="007A0254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GB"/>
        </w:rPr>
        <w:id w:val="16658185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044AB" w:rsidRPr="003044AB" w:rsidRDefault="003044AB" w:rsidP="003044AB">
          <w:pPr>
            <w:pStyle w:val="TOCHeading"/>
            <w:jc w:val="center"/>
            <w:rPr>
              <w:rFonts w:asciiTheme="minorHAnsi" w:hAnsiTheme="minorHAnsi"/>
              <w:color w:val="auto"/>
            </w:rPr>
          </w:pPr>
          <w:r w:rsidRPr="003044AB">
            <w:rPr>
              <w:rFonts w:asciiTheme="minorHAnsi" w:hAnsiTheme="minorHAnsi"/>
              <w:color w:val="auto"/>
            </w:rPr>
            <w:t>Contents</w:t>
          </w:r>
        </w:p>
        <w:p w:rsidR="000D316B" w:rsidRDefault="003044AB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600854" w:history="1">
            <w:r w:rsidR="000D316B" w:rsidRPr="00A70B90">
              <w:rPr>
                <w:rStyle w:val="Hyperlink"/>
                <w:noProof/>
              </w:rPr>
              <w:t>1.0</w:t>
            </w:r>
            <w:r w:rsidR="000D316B">
              <w:rPr>
                <w:noProof/>
              </w:rPr>
              <w:tab/>
            </w:r>
            <w:r w:rsidR="000D316B" w:rsidRPr="00A70B90">
              <w:rPr>
                <w:rStyle w:val="Hyperlink"/>
                <w:noProof/>
              </w:rPr>
              <w:t>Overview</w:t>
            </w:r>
            <w:r w:rsidR="000D316B">
              <w:rPr>
                <w:noProof/>
                <w:webHidden/>
              </w:rPr>
              <w:tab/>
            </w:r>
            <w:r w:rsidR="000D316B">
              <w:rPr>
                <w:noProof/>
                <w:webHidden/>
              </w:rPr>
              <w:fldChar w:fldCharType="begin"/>
            </w:r>
            <w:r w:rsidR="000D316B">
              <w:rPr>
                <w:noProof/>
                <w:webHidden/>
              </w:rPr>
              <w:instrText xml:space="preserve"> PAGEREF _Toc453600854 \h </w:instrText>
            </w:r>
            <w:r w:rsidR="000D316B">
              <w:rPr>
                <w:noProof/>
                <w:webHidden/>
              </w:rPr>
            </w:r>
            <w:r w:rsidR="000D316B">
              <w:rPr>
                <w:noProof/>
                <w:webHidden/>
              </w:rPr>
              <w:fldChar w:fldCharType="separate"/>
            </w:r>
            <w:r w:rsidR="00A56607">
              <w:rPr>
                <w:noProof/>
                <w:webHidden/>
              </w:rPr>
              <w:t>3</w:t>
            </w:r>
            <w:r w:rsidR="000D316B">
              <w:rPr>
                <w:noProof/>
                <w:webHidden/>
              </w:rPr>
              <w:fldChar w:fldCharType="end"/>
            </w:r>
          </w:hyperlink>
        </w:p>
        <w:p w:rsidR="000D316B" w:rsidRDefault="005E13BE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3600855" w:history="1">
            <w:r w:rsidR="000D316B" w:rsidRPr="00A70B90">
              <w:rPr>
                <w:rStyle w:val="Hyperlink"/>
                <w:noProof/>
              </w:rPr>
              <w:t>2.0</w:t>
            </w:r>
            <w:r w:rsidR="000D316B">
              <w:rPr>
                <w:noProof/>
              </w:rPr>
              <w:tab/>
            </w:r>
            <w:r w:rsidR="000D316B" w:rsidRPr="00A70B90">
              <w:rPr>
                <w:rStyle w:val="Hyperlink"/>
                <w:noProof/>
              </w:rPr>
              <w:t>Education</w:t>
            </w:r>
            <w:r w:rsidR="000D316B">
              <w:rPr>
                <w:noProof/>
                <w:webHidden/>
              </w:rPr>
              <w:tab/>
            </w:r>
            <w:r w:rsidR="000D316B">
              <w:rPr>
                <w:noProof/>
                <w:webHidden/>
              </w:rPr>
              <w:fldChar w:fldCharType="begin"/>
            </w:r>
            <w:r w:rsidR="000D316B">
              <w:rPr>
                <w:noProof/>
                <w:webHidden/>
              </w:rPr>
              <w:instrText xml:space="preserve"> PAGEREF _Toc453600855 \h </w:instrText>
            </w:r>
            <w:r w:rsidR="000D316B">
              <w:rPr>
                <w:noProof/>
                <w:webHidden/>
              </w:rPr>
            </w:r>
            <w:r w:rsidR="000D316B">
              <w:rPr>
                <w:noProof/>
                <w:webHidden/>
              </w:rPr>
              <w:fldChar w:fldCharType="separate"/>
            </w:r>
            <w:r w:rsidR="00A56607">
              <w:rPr>
                <w:noProof/>
                <w:webHidden/>
              </w:rPr>
              <w:t>4</w:t>
            </w:r>
            <w:r w:rsidR="000D316B">
              <w:rPr>
                <w:noProof/>
                <w:webHidden/>
              </w:rPr>
              <w:fldChar w:fldCharType="end"/>
            </w:r>
          </w:hyperlink>
        </w:p>
        <w:p w:rsidR="000D316B" w:rsidRDefault="005E13BE">
          <w:pPr>
            <w:pStyle w:val="TOC1"/>
            <w:tabs>
              <w:tab w:val="left" w:pos="660"/>
              <w:tab w:val="right" w:leader="dot" w:pos="13948"/>
            </w:tabs>
            <w:rPr>
              <w:noProof/>
            </w:rPr>
          </w:pPr>
          <w:hyperlink w:anchor="_Toc453600856" w:history="1">
            <w:r w:rsidR="000D316B" w:rsidRPr="00A70B90">
              <w:rPr>
                <w:rStyle w:val="Hyperlink"/>
                <w:noProof/>
              </w:rPr>
              <w:t>3.0</w:t>
            </w:r>
            <w:r w:rsidR="000D316B">
              <w:rPr>
                <w:noProof/>
              </w:rPr>
              <w:tab/>
            </w:r>
            <w:r w:rsidR="000D316B" w:rsidRPr="00A70B90">
              <w:rPr>
                <w:rStyle w:val="Hyperlink"/>
                <w:noProof/>
              </w:rPr>
              <w:t>Action Plan</w:t>
            </w:r>
            <w:r w:rsidR="000D316B">
              <w:rPr>
                <w:noProof/>
                <w:webHidden/>
              </w:rPr>
              <w:tab/>
            </w:r>
            <w:r w:rsidR="000D316B">
              <w:rPr>
                <w:noProof/>
                <w:webHidden/>
              </w:rPr>
              <w:fldChar w:fldCharType="begin"/>
            </w:r>
            <w:r w:rsidR="000D316B">
              <w:rPr>
                <w:noProof/>
                <w:webHidden/>
              </w:rPr>
              <w:instrText xml:space="preserve"> PAGEREF _Toc453600856 \h </w:instrText>
            </w:r>
            <w:r w:rsidR="000D316B">
              <w:rPr>
                <w:noProof/>
                <w:webHidden/>
              </w:rPr>
            </w:r>
            <w:r w:rsidR="000D316B">
              <w:rPr>
                <w:noProof/>
                <w:webHidden/>
              </w:rPr>
              <w:fldChar w:fldCharType="separate"/>
            </w:r>
            <w:r w:rsidR="00A56607">
              <w:rPr>
                <w:noProof/>
                <w:webHidden/>
              </w:rPr>
              <w:t>4</w:t>
            </w:r>
            <w:r w:rsidR="000D316B">
              <w:rPr>
                <w:noProof/>
                <w:webHidden/>
              </w:rPr>
              <w:fldChar w:fldCharType="end"/>
            </w:r>
          </w:hyperlink>
        </w:p>
        <w:p w:rsidR="003044AB" w:rsidRDefault="003044AB">
          <w:r>
            <w:rPr>
              <w:b/>
              <w:bCs/>
              <w:noProof/>
            </w:rPr>
            <w:fldChar w:fldCharType="end"/>
          </w:r>
        </w:p>
      </w:sdtContent>
    </w:sdt>
    <w:p w:rsidR="003044AB" w:rsidRDefault="003044AB"/>
    <w:p w:rsidR="003044AB" w:rsidRDefault="003044AB"/>
    <w:p w:rsidR="00F17C2D" w:rsidRDefault="00F17C2D"/>
    <w:p w:rsidR="00F17C2D" w:rsidRDefault="00F17C2D"/>
    <w:p w:rsidR="00F17C2D" w:rsidRDefault="00F17C2D"/>
    <w:p w:rsidR="00F17C2D" w:rsidRDefault="00F17C2D"/>
    <w:p w:rsidR="00F17C2D" w:rsidRDefault="00F17C2D"/>
    <w:p w:rsidR="00F17C2D" w:rsidRDefault="00F17C2D"/>
    <w:p w:rsidR="00F17C2D" w:rsidRDefault="00F17C2D"/>
    <w:p w:rsidR="00F17C2D" w:rsidRDefault="00F17C2D"/>
    <w:p w:rsidR="00F17C2D" w:rsidRDefault="00F17C2D"/>
    <w:p w:rsidR="00F17C2D" w:rsidRDefault="00F17C2D"/>
    <w:p w:rsidR="00F17C2D" w:rsidRDefault="00F17C2D"/>
    <w:p w:rsidR="00F17C2D" w:rsidRDefault="00F17C2D"/>
    <w:p w:rsidR="007949B7" w:rsidRPr="007949B7" w:rsidRDefault="00E14855" w:rsidP="007949B7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1" w:name="_Toc453600854"/>
      <w:r>
        <w:rPr>
          <w:rFonts w:asciiTheme="minorHAnsi" w:hAnsiTheme="minorHAnsi"/>
          <w:color w:val="auto"/>
        </w:rPr>
        <w:lastRenderedPageBreak/>
        <w:t>Overview</w:t>
      </w:r>
      <w:bookmarkEnd w:id="1"/>
    </w:p>
    <w:p w:rsidR="009749C7" w:rsidRPr="009749C7" w:rsidRDefault="009749C7" w:rsidP="0097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749C7" w:rsidRDefault="009749C7" w:rsidP="0097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Academy </w:t>
      </w:r>
      <w:r w:rsidRPr="009749C7">
        <w:rPr>
          <w:rFonts w:ascii="Calibri" w:hAnsi="Calibri" w:cs="Calibri"/>
          <w:color w:val="000000"/>
        </w:rPr>
        <w:t>reco</w:t>
      </w:r>
      <w:r>
        <w:rPr>
          <w:rFonts w:ascii="Calibri" w:hAnsi="Calibri" w:cs="Calibri"/>
          <w:color w:val="000000"/>
        </w:rPr>
        <w:t>gnises that many of our pupils</w:t>
      </w:r>
      <w:r w:rsidRPr="009749C7">
        <w:rPr>
          <w:rFonts w:ascii="Calibri" w:hAnsi="Calibri" w:cs="Calibri"/>
          <w:color w:val="000000"/>
        </w:rPr>
        <w:t xml:space="preserve">, staff and visitors have individual needs when using the school site and facilities. However, we also </w:t>
      </w:r>
      <w:r>
        <w:rPr>
          <w:rFonts w:ascii="Calibri" w:hAnsi="Calibri" w:cs="Calibri"/>
          <w:color w:val="000000"/>
        </w:rPr>
        <w:t>recognise that for some pupils</w:t>
      </w:r>
      <w:r w:rsidRPr="009749C7">
        <w:rPr>
          <w:rFonts w:ascii="Calibri" w:hAnsi="Calibri" w:cs="Calibri"/>
          <w:color w:val="000000"/>
        </w:rPr>
        <w:t xml:space="preserve">, the nature of their disabilities may mean that they experience specific challenges related to accessing education and the environment. As part of our on-going commitment to the delivery of an inclusive education we will endeavour </w:t>
      </w:r>
      <w:r w:rsidR="00F17C2D">
        <w:rPr>
          <w:rFonts w:ascii="Calibri" w:hAnsi="Calibri" w:cs="Calibri"/>
          <w:color w:val="000000"/>
        </w:rPr>
        <w:t>to ensure that disabled pupils</w:t>
      </w:r>
      <w:r w:rsidRPr="009749C7">
        <w:rPr>
          <w:rFonts w:ascii="Calibri" w:hAnsi="Calibri" w:cs="Calibri"/>
          <w:color w:val="000000"/>
        </w:rPr>
        <w:t xml:space="preserve"> receive the same standards of education as their non-disabled peers.</w:t>
      </w:r>
    </w:p>
    <w:p w:rsidR="009749C7" w:rsidRPr="009749C7" w:rsidRDefault="009749C7" w:rsidP="0097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49C7">
        <w:rPr>
          <w:rFonts w:ascii="Calibri" w:hAnsi="Calibri" w:cs="Calibri"/>
          <w:color w:val="000000"/>
        </w:rPr>
        <w:t xml:space="preserve"> </w:t>
      </w:r>
    </w:p>
    <w:p w:rsidR="009749C7" w:rsidRPr="009749C7" w:rsidRDefault="009749C7" w:rsidP="0097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49C7">
        <w:rPr>
          <w:rFonts w:ascii="Calibri" w:hAnsi="Calibri" w:cs="Calibri"/>
          <w:color w:val="000000"/>
        </w:rPr>
        <w:t>The SEN and Disability Act 2001 extended the Disability discriminati</w:t>
      </w:r>
      <w:r w:rsidR="00F17C2D">
        <w:rPr>
          <w:rFonts w:ascii="Calibri" w:hAnsi="Calibri" w:cs="Calibri"/>
          <w:color w:val="000000"/>
        </w:rPr>
        <w:t xml:space="preserve">on Act to </w:t>
      </w:r>
      <w:r w:rsidR="00215EA9">
        <w:rPr>
          <w:rFonts w:ascii="Calibri" w:hAnsi="Calibri" w:cs="Calibri"/>
          <w:color w:val="000000"/>
        </w:rPr>
        <w:t>cover education. The Academy</w:t>
      </w:r>
      <w:r w:rsidRPr="009749C7">
        <w:rPr>
          <w:rFonts w:ascii="Calibri" w:hAnsi="Calibri" w:cs="Calibri"/>
          <w:color w:val="000000"/>
        </w:rPr>
        <w:t xml:space="preserve">, therefore, has three key </w:t>
      </w:r>
      <w:r w:rsidR="00F17C2D">
        <w:rPr>
          <w:rFonts w:ascii="Calibri" w:hAnsi="Calibri" w:cs="Calibri"/>
          <w:color w:val="000000"/>
        </w:rPr>
        <w:t>duties towards disabled pupils</w:t>
      </w:r>
      <w:r w:rsidRPr="009749C7">
        <w:rPr>
          <w:rFonts w:ascii="Calibri" w:hAnsi="Calibri" w:cs="Calibri"/>
          <w:color w:val="000000"/>
        </w:rPr>
        <w:t xml:space="preserve">, under Part 4 of the Act. </w:t>
      </w:r>
    </w:p>
    <w:p w:rsidR="009749C7" w:rsidRDefault="009749C7" w:rsidP="009749C7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</w:p>
    <w:p w:rsidR="009749C7" w:rsidRPr="009749C7" w:rsidRDefault="009749C7" w:rsidP="00215EA9">
      <w:pPr>
        <w:pStyle w:val="NoSpacing"/>
        <w:numPr>
          <w:ilvl w:val="0"/>
          <w:numId w:val="20"/>
        </w:numPr>
      </w:pPr>
      <w:r w:rsidRPr="009749C7">
        <w:t>Not to treat disabled pupils less favourably for a reas</w:t>
      </w:r>
      <w:r>
        <w:t>on related to their disability.</w:t>
      </w:r>
    </w:p>
    <w:p w:rsidR="009749C7" w:rsidRPr="009749C7" w:rsidRDefault="009749C7" w:rsidP="00215EA9">
      <w:pPr>
        <w:pStyle w:val="NoSpacing"/>
        <w:numPr>
          <w:ilvl w:val="0"/>
          <w:numId w:val="20"/>
        </w:numPr>
      </w:pPr>
      <w:r w:rsidRPr="009749C7">
        <w:t>To make reasonable a</w:t>
      </w:r>
      <w:r>
        <w:t>djustments for disabled pupils.</w:t>
      </w:r>
    </w:p>
    <w:p w:rsidR="009749C7" w:rsidRPr="009749C7" w:rsidRDefault="009749C7" w:rsidP="00215EA9">
      <w:pPr>
        <w:pStyle w:val="NoSpacing"/>
        <w:numPr>
          <w:ilvl w:val="0"/>
          <w:numId w:val="20"/>
        </w:numPr>
      </w:pPr>
      <w:r w:rsidRPr="009749C7">
        <w:t xml:space="preserve">Continue to increase access to educational opportunities for disabled pupils. </w:t>
      </w:r>
    </w:p>
    <w:p w:rsidR="009749C7" w:rsidRPr="009749C7" w:rsidRDefault="009749C7" w:rsidP="0097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49C7" w:rsidRDefault="009749C7" w:rsidP="0097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Academy will therefore: </w:t>
      </w:r>
    </w:p>
    <w:p w:rsidR="009749C7" w:rsidRDefault="009749C7" w:rsidP="009749C7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</w:p>
    <w:p w:rsidR="009749C7" w:rsidRPr="009749C7" w:rsidRDefault="009749C7" w:rsidP="00215EA9">
      <w:pPr>
        <w:pStyle w:val="NoSpacing"/>
        <w:numPr>
          <w:ilvl w:val="0"/>
          <w:numId w:val="20"/>
        </w:numPr>
      </w:pPr>
      <w:r w:rsidRPr="009749C7">
        <w:t xml:space="preserve">Inform all staff that our duty is to ensure the inclusion of disabled </w:t>
      </w:r>
      <w:r w:rsidR="009E0D18">
        <w:t>pupil</w:t>
      </w:r>
      <w:r w:rsidRPr="009749C7">
        <w:t>s. This information will include the legal ob</w:t>
      </w:r>
      <w:r w:rsidR="00F17C2D">
        <w:t>ligations of staff and the Academy</w:t>
      </w:r>
      <w:r w:rsidRPr="009749C7">
        <w:t xml:space="preserve">. </w:t>
      </w:r>
    </w:p>
    <w:p w:rsidR="009749C7" w:rsidRPr="009749C7" w:rsidRDefault="009749C7" w:rsidP="00215EA9">
      <w:pPr>
        <w:pStyle w:val="NoSpacing"/>
        <w:numPr>
          <w:ilvl w:val="0"/>
          <w:numId w:val="20"/>
        </w:numPr>
      </w:pPr>
      <w:r w:rsidRPr="009749C7">
        <w:t xml:space="preserve">Provide appropriate disability awareness training opportunities for staff, which explain the implications and obligations of inclusion for all staff. </w:t>
      </w:r>
    </w:p>
    <w:p w:rsidR="009749C7" w:rsidRPr="009749C7" w:rsidRDefault="009749C7" w:rsidP="00215EA9">
      <w:pPr>
        <w:pStyle w:val="NoSpacing"/>
        <w:numPr>
          <w:ilvl w:val="0"/>
          <w:numId w:val="20"/>
        </w:numPr>
      </w:pPr>
      <w:r w:rsidRPr="009749C7">
        <w:t xml:space="preserve">Promote the adoption of disability awareness and inclusion by our external agencies </w:t>
      </w:r>
      <w:r w:rsidR="00215EA9">
        <w:t>and partners, where appropriate.</w:t>
      </w:r>
    </w:p>
    <w:p w:rsidR="009749C7" w:rsidRPr="009749C7" w:rsidRDefault="009749C7" w:rsidP="0097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49C7" w:rsidRDefault="00F17C2D" w:rsidP="0097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ensure the above</w:t>
      </w:r>
      <w:r w:rsidR="00215EA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the Academy </w:t>
      </w:r>
      <w:r w:rsidR="009749C7" w:rsidRPr="009749C7">
        <w:rPr>
          <w:rFonts w:ascii="Calibri" w:hAnsi="Calibri" w:cs="Calibri"/>
          <w:color w:val="000000"/>
        </w:rPr>
        <w:t xml:space="preserve">will: </w:t>
      </w:r>
    </w:p>
    <w:p w:rsidR="00F17C2D" w:rsidRPr="009749C7" w:rsidRDefault="00F17C2D" w:rsidP="0097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49C7" w:rsidRPr="009749C7" w:rsidRDefault="009749C7" w:rsidP="00215EA9">
      <w:pPr>
        <w:pStyle w:val="NoSpacing"/>
        <w:numPr>
          <w:ilvl w:val="0"/>
          <w:numId w:val="20"/>
        </w:numPr>
      </w:pPr>
      <w:r w:rsidRPr="009749C7">
        <w:t xml:space="preserve">Make sure admission information is accurate and appropriate. </w:t>
      </w:r>
    </w:p>
    <w:p w:rsidR="009749C7" w:rsidRPr="009749C7" w:rsidRDefault="009749C7" w:rsidP="00215EA9">
      <w:pPr>
        <w:pStyle w:val="NoSpacing"/>
        <w:numPr>
          <w:ilvl w:val="0"/>
          <w:numId w:val="20"/>
        </w:numPr>
      </w:pPr>
      <w:r w:rsidRPr="009749C7">
        <w:t xml:space="preserve">Consult with disabled </w:t>
      </w:r>
      <w:r w:rsidR="009E0D18">
        <w:t>pupil</w:t>
      </w:r>
      <w:r w:rsidR="00F17C2D">
        <w:t>s, their parents, staff and external agencies</w:t>
      </w:r>
      <w:r w:rsidRPr="009749C7">
        <w:t xml:space="preserve"> e.g. on access to equipment. </w:t>
      </w:r>
    </w:p>
    <w:p w:rsidR="009749C7" w:rsidRPr="009749C7" w:rsidRDefault="009749C7" w:rsidP="00215EA9">
      <w:pPr>
        <w:pStyle w:val="NoSpacing"/>
        <w:numPr>
          <w:ilvl w:val="0"/>
          <w:numId w:val="20"/>
        </w:numPr>
      </w:pPr>
      <w:r w:rsidRPr="009749C7">
        <w:t>Where possible</w:t>
      </w:r>
      <w:r w:rsidR="00215EA9">
        <w:t>,</w:t>
      </w:r>
      <w:r w:rsidRPr="009749C7">
        <w:t xml:space="preserve"> and within budget, impro</w:t>
      </w:r>
      <w:r w:rsidR="00F17C2D">
        <w:t>ve access for disabled pupils.</w:t>
      </w:r>
    </w:p>
    <w:p w:rsidR="00F17C2D" w:rsidRDefault="009749C7" w:rsidP="00215EA9">
      <w:pPr>
        <w:pStyle w:val="NoSpacing"/>
        <w:numPr>
          <w:ilvl w:val="0"/>
          <w:numId w:val="20"/>
        </w:numPr>
      </w:pPr>
      <w:r w:rsidRPr="009749C7">
        <w:t xml:space="preserve">Regularly review whether the education available is accessible and effective. </w:t>
      </w:r>
    </w:p>
    <w:p w:rsidR="009749C7" w:rsidRDefault="009749C7" w:rsidP="00215EA9">
      <w:pPr>
        <w:pStyle w:val="NoSpacing"/>
        <w:numPr>
          <w:ilvl w:val="0"/>
          <w:numId w:val="20"/>
        </w:numPr>
      </w:pPr>
      <w:r w:rsidRPr="009749C7">
        <w:t xml:space="preserve">Make reasonable adjustments to ensure maximum access to facilities and equipment. </w:t>
      </w:r>
    </w:p>
    <w:p w:rsidR="00E14855" w:rsidRDefault="00E14855" w:rsidP="00E14855">
      <w:pPr>
        <w:pStyle w:val="NoSpacing"/>
      </w:pPr>
    </w:p>
    <w:p w:rsidR="00E14855" w:rsidRDefault="00E14855" w:rsidP="00E14855">
      <w:pPr>
        <w:pStyle w:val="NoSpacing"/>
      </w:pPr>
    </w:p>
    <w:p w:rsidR="00E14855" w:rsidRDefault="00215EA9" w:rsidP="00E14855">
      <w:pPr>
        <w:pStyle w:val="NoSpacing"/>
      </w:pPr>
      <w:r>
        <w:t xml:space="preserve">Refer to the Trust’s Equality Policy. </w:t>
      </w:r>
    </w:p>
    <w:p w:rsidR="00E14855" w:rsidRDefault="00E14855" w:rsidP="00E14855">
      <w:pPr>
        <w:pStyle w:val="NoSpacing"/>
      </w:pPr>
    </w:p>
    <w:p w:rsidR="00E14855" w:rsidRPr="007949B7" w:rsidRDefault="00E14855" w:rsidP="00E14855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2" w:name="_Toc453600855"/>
      <w:r>
        <w:rPr>
          <w:rFonts w:asciiTheme="minorHAnsi" w:hAnsiTheme="minorHAnsi"/>
          <w:color w:val="auto"/>
        </w:rPr>
        <w:lastRenderedPageBreak/>
        <w:t>Education</w:t>
      </w:r>
      <w:bookmarkEnd w:id="2"/>
    </w:p>
    <w:p w:rsidR="005D35AB" w:rsidRDefault="005D35AB" w:rsidP="00E14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A9" w:rsidRPr="005D35AB" w:rsidRDefault="00E14855" w:rsidP="005D35A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14855">
        <w:rPr>
          <w:rFonts w:cs="Times New Roman"/>
        </w:rPr>
        <w:t xml:space="preserve">The Academy provides all pupils with a broad and balanced curriculum, differentiated and adjusted to meet the needs of individual </w:t>
      </w:r>
      <w:r w:rsidR="009E0D18">
        <w:rPr>
          <w:rFonts w:cs="Times New Roman"/>
        </w:rPr>
        <w:t>pupil</w:t>
      </w:r>
      <w:r w:rsidR="00215EA9">
        <w:rPr>
          <w:rFonts w:cs="Times New Roman"/>
        </w:rPr>
        <w:t>s and their pre</w:t>
      </w:r>
      <w:r w:rsidR="005D35AB">
        <w:rPr>
          <w:rFonts w:cs="Times New Roman"/>
        </w:rPr>
        <w:t xml:space="preserve">ferred learning. This involves: </w:t>
      </w:r>
      <w:r w:rsidR="005D35AB">
        <w:t>s</w:t>
      </w:r>
      <w:r w:rsidRPr="00215EA9">
        <w:t>etting suitable learning challenges</w:t>
      </w:r>
      <w:r w:rsidR="005D35AB">
        <w:t>; r</w:t>
      </w:r>
      <w:r w:rsidRPr="00215EA9">
        <w:t>esponding to pupils’ diverse learning needs</w:t>
      </w:r>
      <w:r w:rsidR="00953EF2">
        <w:t xml:space="preserve">; </w:t>
      </w:r>
      <w:r w:rsidR="005D35AB">
        <w:t>and o</w:t>
      </w:r>
      <w:r w:rsidRPr="00215EA9">
        <w:t xml:space="preserve">vercoming potential barriers to learning and assessment for </w:t>
      </w:r>
      <w:r w:rsidR="00215EA9">
        <w:t xml:space="preserve">all </w:t>
      </w:r>
      <w:r w:rsidRPr="00215EA9">
        <w:t>individuals and groups of pupils.</w:t>
      </w:r>
    </w:p>
    <w:p w:rsidR="009A55E7" w:rsidRDefault="009A55E7" w:rsidP="009A55E7">
      <w:pPr>
        <w:pStyle w:val="Heading1"/>
        <w:numPr>
          <w:ilvl w:val="0"/>
          <w:numId w:val="14"/>
        </w:numPr>
        <w:rPr>
          <w:rFonts w:asciiTheme="minorHAnsi" w:hAnsiTheme="minorHAnsi"/>
          <w:color w:val="auto"/>
        </w:rPr>
      </w:pPr>
      <w:bookmarkStart w:id="3" w:name="_Toc453600856"/>
      <w:r>
        <w:rPr>
          <w:rFonts w:asciiTheme="minorHAnsi" w:hAnsiTheme="minorHAnsi"/>
          <w:color w:val="auto"/>
        </w:rPr>
        <w:t>Action Plan</w:t>
      </w:r>
      <w:bookmarkEnd w:id="3"/>
    </w:p>
    <w:p w:rsidR="009A55E7" w:rsidRDefault="009A55E7" w:rsidP="009A55E7">
      <w:pPr>
        <w:pStyle w:val="NoSpacing"/>
      </w:pPr>
    </w:p>
    <w:p w:rsidR="005D35AB" w:rsidRDefault="005D35AB" w:rsidP="009A55E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A55E7" w:rsidTr="009A55E7">
        <w:tc>
          <w:tcPr>
            <w:tcW w:w="2324" w:type="dxa"/>
            <w:shd w:val="clear" w:color="auto" w:fill="D9D9D9" w:themeFill="background1" w:themeFillShade="D9"/>
          </w:tcPr>
          <w:p w:rsidR="009A55E7" w:rsidRPr="009A55E7" w:rsidRDefault="009A55E7" w:rsidP="009A55E7">
            <w:pPr>
              <w:jc w:val="center"/>
              <w:rPr>
                <w:b/>
              </w:rPr>
            </w:pPr>
            <w:r w:rsidRPr="009A55E7">
              <w:rPr>
                <w:b/>
              </w:rPr>
              <w:t>Term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9A55E7" w:rsidRPr="009A55E7" w:rsidRDefault="009A55E7" w:rsidP="009A55E7">
            <w:pPr>
              <w:jc w:val="center"/>
              <w:rPr>
                <w:b/>
              </w:rPr>
            </w:pPr>
            <w:r w:rsidRPr="009A55E7">
              <w:rPr>
                <w:b/>
              </w:rPr>
              <w:t>Targets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9A55E7" w:rsidRPr="009A55E7" w:rsidRDefault="009A55E7" w:rsidP="009A55E7">
            <w:pPr>
              <w:jc w:val="center"/>
              <w:rPr>
                <w:b/>
              </w:rPr>
            </w:pPr>
            <w:r w:rsidRPr="009A55E7">
              <w:rPr>
                <w:b/>
              </w:rPr>
              <w:t>Strategies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9A55E7" w:rsidRPr="009A55E7" w:rsidRDefault="009A55E7" w:rsidP="009A55E7">
            <w:pPr>
              <w:jc w:val="center"/>
              <w:rPr>
                <w:b/>
              </w:rPr>
            </w:pPr>
            <w:r w:rsidRPr="009A55E7">
              <w:rPr>
                <w:b/>
              </w:rPr>
              <w:t>Outcomes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9A55E7" w:rsidRPr="009A55E7" w:rsidRDefault="009A55E7" w:rsidP="009A55E7">
            <w:pPr>
              <w:jc w:val="center"/>
              <w:rPr>
                <w:b/>
              </w:rPr>
            </w:pPr>
            <w:r w:rsidRPr="009A55E7">
              <w:rPr>
                <w:b/>
              </w:rPr>
              <w:t>Timeframe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9A55E7" w:rsidRPr="009A55E7" w:rsidRDefault="009A55E7" w:rsidP="009A55E7">
            <w:pPr>
              <w:jc w:val="center"/>
              <w:rPr>
                <w:b/>
              </w:rPr>
            </w:pPr>
            <w:r w:rsidRPr="009A55E7">
              <w:rPr>
                <w:b/>
              </w:rPr>
              <w:t>Targets Achieved</w:t>
            </w:r>
          </w:p>
        </w:tc>
      </w:tr>
      <w:tr w:rsidR="009E0D18" w:rsidTr="009E0D18">
        <w:tc>
          <w:tcPr>
            <w:tcW w:w="2324" w:type="dxa"/>
            <w:vMerge w:val="restart"/>
            <w:vAlign w:val="center"/>
          </w:tcPr>
          <w:p w:rsidR="009E0D18" w:rsidRPr="009E0D18" w:rsidRDefault="009E0D18" w:rsidP="009E0D18">
            <w:pPr>
              <w:jc w:val="center"/>
            </w:pPr>
            <w:r w:rsidRPr="009E0D18">
              <w:t>Short Term</w:t>
            </w:r>
          </w:p>
        </w:tc>
        <w:tc>
          <w:tcPr>
            <w:tcW w:w="2324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>Availability of written material in alternative formats.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The Academy is aware of the service available, through the LA Sensory Inclusion Service, for converting written information into alternative formats.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If needed, the Academy can provide written information in alternative formats.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With immediate effect.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Delivery of information to disabled pupils improved. </w:t>
            </w:r>
          </w:p>
        </w:tc>
      </w:tr>
      <w:tr w:rsidR="009E0D18" w:rsidTr="009A55E7">
        <w:tc>
          <w:tcPr>
            <w:tcW w:w="2324" w:type="dxa"/>
            <w:vMerge/>
          </w:tcPr>
          <w:p w:rsidR="009E0D18" w:rsidRPr="009E0D18" w:rsidRDefault="009E0D18" w:rsidP="009A55E7"/>
        </w:tc>
        <w:tc>
          <w:tcPr>
            <w:tcW w:w="2324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Ensure reference to this disability plan is made in the Academy Prospectus. </w:t>
            </w:r>
          </w:p>
        </w:tc>
        <w:tc>
          <w:tcPr>
            <w:tcW w:w="2325" w:type="dxa"/>
          </w:tcPr>
          <w:p w:rsidR="009E0D18" w:rsidRPr="009E0D18" w:rsidRDefault="009E0D18" w:rsidP="005D35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>Reference to accessibility has been included since 2003 and</w:t>
            </w:r>
            <w:r w:rsidR="005D35AB">
              <w:rPr>
                <w:rFonts w:asciiTheme="minorHAnsi" w:hAnsiTheme="minorHAnsi"/>
                <w:sz w:val="22"/>
                <w:szCs w:val="22"/>
              </w:rPr>
              <w:t>, from 2008, has</w:t>
            </w:r>
            <w:r w:rsidRPr="009E0D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35AB">
              <w:rPr>
                <w:rFonts w:asciiTheme="minorHAnsi" w:hAnsiTheme="minorHAnsi"/>
                <w:sz w:val="22"/>
                <w:szCs w:val="22"/>
              </w:rPr>
              <w:t>been</w:t>
            </w:r>
            <w:r w:rsidRPr="009E0D18">
              <w:rPr>
                <w:rFonts w:asciiTheme="minorHAnsi" w:hAnsiTheme="minorHAnsi"/>
                <w:sz w:val="22"/>
                <w:szCs w:val="22"/>
              </w:rPr>
              <w:t xml:space="preserve"> amplified to include </w:t>
            </w:r>
            <w:r w:rsidR="005D35AB">
              <w:rPr>
                <w:rFonts w:asciiTheme="minorHAnsi" w:hAnsiTheme="minorHAnsi"/>
                <w:sz w:val="22"/>
                <w:szCs w:val="22"/>
              </w:rPr>
              <w:t>the broader issue of disability.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Inclusion of appropriate text in Academy Prospectus.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With immediate effect.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Improvement in information provided to prospective parents in relation to the Academy’s disability and access policies. </w:t>
            </w:r>
          </w:p>
        </w:tc>
      </w:tr>
      <w:tr w:rsidR="009E0D18" w:rsidTr="005D35AB">
        <w:tc>
          <w:tcPr>
            <w:tcW w:w="2324" w:type="dxa"/>
            <w:vMerge w:val="restart"/>
            <w:vAlign w:val="center"/>
          </w:tcPr>
          <w:p w:rsidR="005D35AB" w:rsidRDefault="005D35AB" w:rsidP="005D35AB">
            <w:pPr>
              <w:jc w:val="center"/>
            </w:pPr>
          </w:p>
          <w:p w:rsidR="005D35AB" w:rsidRPr="005D35AB" w:rsidRDefault="005D35AB" w:rsidP="005D35AB">
            <w:pPr>
              <w:jc w:val="center"/>
              <w:rPr>
                <w:sz w:val="32"/>
                <w:szCs w:val="32"/>
              </w:rPr>
            </w:pPr>
          </w:p>
          <w:p w:rsidR="009E0D18" w:rsidRDefault="009E0D18" w:rsidP="005D35AB">
            <w:pPr>
              <w:jc w:val="center"/>
            </w:pPr>
            <w:r w:rsidRPr="009E0D18">
              <w:t>Medium Term</w:t>
            </w: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Default="005D35AB" w:rsidP="005D35AB">
            <w:pPr>
              <w:jc w:val="center"/>
            </w:pPr>
          </w:p>
          <w:p w:rsidR="005D35AB" w:rsidRPr="009E0D18" w:rsidRDefault="005D35AB" w:rsidP="005D35AB">
            <w:pPr>
              <w:jc w:val="center"/>
            </w:pPr>
            <w:r w:rsidRPr="009E0D18">
              <w:t>Medium Term</w:t>
            </w:r>
          </w:p>
        </w:tc>
        <w:tc>
          <w:tcPr>
            <w:tcW w:w="2324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Continual monitoring of the needs of </w:t>
            </w:r>
            <w:r>
              <w:rPr>
                <w:rFonts w:asciiTheme="minorHAnsi" w:hAnsiTheme="minorHAnsi"/>
                <w:sz w:val="22"/>
                <w:szCs w:val="22"/>
              </w:rPr>
              <w:t>pupil</w:t>
            </w:r>
            <w:r w:rsidRPr="009E0D18">
              <w:rPr>
                <w:rFonts w:asciiTheme="minorHAnsi" w:hAnsiTheme="minorHAnsi"/>
                <w:sz w:val="22"/>
                <w:szCs w:val="22"/>
              </w:rPr>
              <w:t xml:space="preserve">s to ensure future refurbishment work benefits pupils with physical disabilities.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If needs are identified, seek advice on appropriate design features. </w:t>
            </w:r>
          </w:p>
        </w:tc>
        <w:tc>
          <w:tcPr>
            <w:tcW w:w="2325" w:type="dxa"/>
          </w:tcPr>
          <w:p w:rsidR="009E0D18" w:rsidRPr="009E0D18" w:rsidRDefault="005D35AB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9E0D18" w:rsidRPr="009E0D18">
              <w:rPr>
                <w:rFonts w:asciiTheme="minorHAnsi" w:hAnsiTheme="minorHAnsi"/>
                <w:sz w:val="22"/>
                <w:szCs w:val="22"/>
              </w:rPr>
              <w:t xml:space="preserve">eeds are identified and addressed whenever they might arise.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On-going.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>Commitment to providing reasonable adjustment</w:t>
            </w:r>
            <w:r w:rsidR="005D35AB">
              <w:rPr>
                <w:rFonts w:asciiTheme="minorHAnsi" w:hAnsiTheme="minorHAnsi"/>
                <w:sz w:val="22"/>
                <w:szCs w:val="22"/>
              </w:rPr>
              <w:t>s</w:t>
            </w:r>
            <w:r w:rsidRPr="009E0D18">
              <w:rPr>
                <w:rFonts w:asciiTheme="minorHAnsi" w:hAnsiTheme="minorHAnsi"/>
                <w:sz w:val="22"/>
                <w:szCs w:val="22"/>
              </w:rPr>
              <w:t xml:space="preserve"> to the Academy environment to meet the needs of any disabled person. </w:t>
            </w:r>
          </w:p>
        </w:tc>
      </w:tr>
      <w:tr w:rsidR="009E0D18" w:rsidTr="009A55E7">
        <w:tc>
          <w:tcPr>
            <w:tcW w:w="2324" w:type="dxa"/>
            <w:vMerge/>
          </w:tcPr>
          <w:p w:rsidR="009E0D18" w:rsidRPr="009E0D18" w:rsidRDefault="009E0D18" w:rsidP="009A55E7"/>
        </w:tc>
        <w:tc>
          <w:tcPr>
            <w:tcW w:w="2324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Review all Academy policies to ensure that they do not discriminate the needs of disabled pupils, staff or visitors.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Provide relevant information to all staff with responsibility for reviewing Academy policies. </w:t>
            </w:r>
          </w:p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All policies will be reviewed regularly by the relevant person or committee as part of the Academy’s on-going validation process. </w:t>
            </w:r>
          </w:p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On-going.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Improved awareness of the desirability of considering the needs of persons with disability. </w:t>
            </w:r>
          </w:p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0D18" w:rsidTr="009A55E7">
        <w:tc>
          <w:tcPr>
            <w:tcW w:w="2324" w:type="dxa"/>
            <w:vMerge/>
          </w:tcPr>
          <w:p w:rsidR="009E0D18" w:rsidRPr="009E0D18" w:rsidRDefault="009E0D18" w:rsidP="009A55E7"/>
        </w:tc>
        <w:tc>
          <w:tcPr>
            <w:tcW w:w="2324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Ensure installation of window blinds or curtains in all classrooms with data projection facilities to benefit all </w:t>
            </w:r>
            <w:r>
              <w:rPr>
                <w:rFonts w:asciiTheme="minorHAnsi" w:hAnsiTheme="minorHAnsi"/>
                <w:sz w:val="22"/>
                <w:szCs w:val="22"/>
              </w:rPr>
              <w:t>pupil</w:t>
            </w:r>
            <w:r w:rsidRPr="009E0D18">
              <w:rPr>
                <w:rFonts w:asciiTheme="minorHAnsi" w:hAnsiTheme="minorHAnsi"/>
                <w:sz w:val="22"/>
                <w:szCs w:val="22"/>
              </w:rPr>
              <w:t xml:space="preserve">s and particularly those with impaired vision.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Incorporate the provision of blinds or curtains in the standard fit-out of all classrooms and laboratories.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</w:t>
            </w:r>
            <w:r w:rsidRPr="009E0D18">
              <w:rPr>
                <w:rFonts w:asciiTheme="minorHAnsi" w:hAnsiTheme="minorHAnsi"/>
                <w:sz w:val="22"/>
                <w:szCs w:val="22"/>
              </w:rPr>
              <w:t xml:space="preserve">s will experience improved visibility when viewing whiteboards and projection screens.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On-going. </w:t>
            </w:r>
          </w:p>
        </w:tc>
        <w:tc>
          <w:tcPr>
            <w:tcW w:w="2325" w:type="dxa"/>
          </w:tcPr>
          <w:p w:rsidR="009E0D18" w:rsidRPr="009E0D18" w:rsidRDefault="009E0D18" w:rsidP="009A55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Improved visibility for visually impaired and other </w:t>
            </w:r>
            <w:r>
              <w:rPr>
                <w:rFonts w:asciiTheme="minorHAnsi" w:hAnsiTheme="minorHAnsi"/>
                <w:sz w:val="22"/>
                <w:szCs w:val="22"/>
              </w:rPr>
              <w:t>pupil</w:t>
            </w:r>
            <w:r w:rsidRPr="009E0D18">
              <w:rPr>
                <w:rFonts w:asciiTheme="minorHAnsi" w:hAnsiTheme="minorHAnsi"/>
                <w:sz w:val="22"/>
                <w:szCs w:val="22"/>
              </w:rPr>
              <w:t xml:space="preserve">s. </w:t>
            </w:r>
          </w:p>
        </w:tc>
      </w:tr>
      <w:tr w:rsidR="009E0D18" w:rsidTr="009E0D18">
        <w:tc>
          <w:tcPr>
            <w:tcW w:w="2324" w:type="dxa"/>
            <w:vAlign w:val="center"/>
          </w:tcPr>
          <w:p w:rsidR="009E0D18" w:rsidRPr="009E0D18" w:rsidRDefault="009E0D18" w:rsidP="009E0D18">
            <w:pPr>
              <w:jc w:val="center"/>
            </w:pPr>
            <w:r>
              <w:t>Long Term</w:t>
            </w:r>
          </w:p>
        </w:tc>
        <w:tc>
          <w:tcPr>
            <w:tcW w:w="2324" w:type="dxa"/>
          </w:tcPr>
          <w:p w:rsidR="009E0D18" w:rsidRPr="009E0D18" w:rsidRDefault="009E0D18" w:rsidP="009E0D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The Academy will continue to incorporate current accessibility levels in all new buildings and refurbishment works. </w:t>
            </w:r>
          </w:p>
        </w:tc>
        <w:tc>
          <w:tcPr>
            <w:tcW w:w="2325" w:type="dxa"/>
          </w:tcPr>
          <w:p w:rsidR="009E0D18" w:rsidRPr="009E0D18" w:rsidRDefault="009E0D18" w:rsidP="009E0D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Our policy exceeds minimum standards where this will better suit the needs of our </w:t>
            </w:r>
            <w:r>
              <w:rPr>
                <w:rFonts w:asciiTheme="minorHAnsi" w:hAnsiTheme="minorHAnsi"/>
                <w:sz w:val="22"/>
                <w:szCs w:val="22"/>
              </w:rPr>
              <w:t>pupil</w:t>
            </w:r>
            <w:r w:rsidRPr="009E0D18">
              <w:rPr>
                <w:rFonts w:asciiTheme="minorHAnsi" w:hAnsiTheme="minorHAnsi"/>
                <w:sz w:val="22"/>
                <w:szCs w:val="22"/>
              </w:rPr>
              <w:t xml:space="preserve">s, staff and visitors to the Academy. </w:t>
            </w:r>
          </w:p>
        </w:tc>
        <w:tc>
          <w:tcPr>
            <w:tcW w:w="2325" w:type="dxa"/>
          </w:tcPr>
          <w:p w:rsidR="009E0D18" w:rsidRPr="009E0D18" w:rsidRDefault="009E0D18" w:rsidP="009E0D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All stakeholders will benefit from the fully inclusive nature of the Academy buildings and grounds. </w:t>
            </w:r>
          </w:p>
        </w:tc>
        <w:tc>
          <w:tcPr>
            <w:tcW w:w="2325" w:type="dxa"/>
          </w:tcPr>
          <w:p w:rsidR="009E0D18" w:rsidRPr="009E0D18" w:rsidRDefault="009E0D18" w:rsidP="009E0D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On-going. </w:t>
            </w:r>
          </w:p>
        </w:tc>
        <w:tc>
          <w:tcPr>
            <w:tcW w:w="2325" w:type="dxa"/>
          </w:tcPr>
          <w:p w:rsidR="009E0D18" w:rsidRPr="009E0D18" w:rsidRDefault="009E0D18" w:rsidP="009E0D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0D18">
              <w:rPr>
                <w:rFonts w:asciiTheme="minorHAnsi" w:hAnsiTheme="minorHAnsi"/>
                <w:sz w:val="22"/>
                <w:szCs w:val="22"/>
              </w:rPr>
              <w:t xml:space="preserve">Fully compliant buildings and grounds. </w:t>
            </w:r>
          </w:p>
        </w:tc>
      </w:tr>
    </w:tbl>
    <w:p w:rsidR="009A55E7" w:rsidRPr="009A55E7" w:rsidRDefault="009A55E7" w:rsidP="009A55E7"/>
    <w:p w:rsidR="009A55E7" w:rsidRPr="007949B7" w:rsidRDefault="009A55E7" w:rsidP="007949B7">
      <w:pPr>
        <w:pStyle w:val="NoSpacing"/>
      </w:pPr>
    </w:p>
    <w:sectPr w:rsidR="009A55E7" w:rsidRPr="007949B7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00" w:rsidRDefault="00A03E00">
      <w:pPr>
        <w:spacing w:after="0" w:line="240" w:lineRule="auto"/>
      </w:pPr>
      <w:r>
        <w:separator/>
      </w:r>
    </w:p>
  </w:endnote>
  <w:endnote w:type="continuationSeparator" w:id="0">
    <w:p w:rsidR="00A03E00" w:rsidRDefault="00A0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2189"/>
      <w:docPartObj>
        <w:docPartGallery w:val="Page Numbers (Bottom of Page)"/>
        <w:docPartUnique/>
      </w:docPartObj>
    </w:sdtPr>
    <w:sdtEndPr/>
    <w:sdtContent>
      <w:p w:rsidR="00A03E00" w:rsidRDefault="00A03E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3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3E00" w:rsidRDefault="00A03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00" w:rsidRDefault="00A03E00">
      <w:pPr>
        <w:spacing w:after="0" w:line="240" w:lineRule="auto"/>
      </w:pPr>
      <w:r>
        <w:separator/>
      </w:r>
    </w:p>
  </w:footnote>
  <w:footnote w:type="continuationSeparator" w:id="0">
    <w:p w:rsidR="00A03E00" w:rsidRDefault="00A0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3in;height:3in" o:bullet="t"/>
    </w:pict>
  </w:numPicBullet>
  <w:numPicBullet w:numPicBulletId="2">
    <w:pict>
      <v:shape id="_x0000_i1074" type="#_x0000_t75" style="width:3in;height:3in" o:bullet="t"/>
    </w:pict>
  </w:numPicBullet>
  <w:abstractNum w:abstractNumId="0" w15:restartNumberingAfterBreak="0">
    <w:nsid w:val="FFFFFF83"/>
    <w:multiLevelType w:val="singleLevel"/>
    <w:tmpl w:val="2C7AC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A7FDF"/>
    <w:multiLevelType w:val="hybridMultilevel"/>
    <w:tmpl w:val="D906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1A8"/>
    <w:multiLevelType w:val="hybridMultilevel"/>
    <w:tmpl w:val="299C8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635A"/>
    <w:multiLevelType w:val="hybridMultilevel"/>
    <w:tmpl w:val="66B6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3A97"/>
    <w:multiLevelType w:val="hybridMultilevel"/>
    <w:tmpl w:val="E180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29A3"/>
    <w:multiLevelType w:val="multilevel"/>
    <w:tmpl w:val="03F2B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D31CDB"/>
    <w:multiLevelType w:val="multilevel"/>
    <w:tmpl w:val="60BEC9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91036"/>
    <w:multiLevelType w:val="multilevel"/>
    <w:tmpl w:val="17E06C8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9" w15:restartNumberingAfterBreak="0">
    <w:nsid w:val="3D0063A0"/>
    <w:multiLevelType w:val="hybridMultilevel"/>
    <w:tmpl w:val="6AAC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31D9B"/>
    <w:multiLevelType w:val="hybridMultilevel"/>
    <w:tmpl w:val="E6F0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19D0"/>
    <w:multiLevelType w:val="hybridMultilevel"/>
    <w:tmpl w:val="D5C4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6C8D"/>
    <w:multiLevelType w:val="multilevel"/>
    <w:tmpl w:val="5FF22C50"/>
    <w:lvl w:ilvl="0">
      <w:start w:val="1"/>
      <w:numFmt w:val="decimal"/>
      <w:lvlText w:val="%1.0"/>
      <w:lvlJc w:val="left"/>
      <w:pPr>
        <w:ind w:left="375" w:hanging="37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13" w15:restartNumberingAfterBreak="0">
    <w:nsid w:val="646C4FBE"/>
    <w:multiLevelType w:val="multilevel"/>
    <w:tmpl w:val="CF8CD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B8542A"/>
    <w:multiLevelType w:val="hybridMultilevel"/>
    <w:tmpl w:val="243A1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BE1521"/>
    <w:multiLevelType w:val="hybridMultilevel"/>
    <w:tmpl w:val="8A92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7B8A"/>
    <w:multiLevelType w:val="hybridMultilevel"/>
    <w:tmpl w:val="8020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F50A0"/>
    <w:multiLevelType w:val="multilevel"/>
    <w:tmpl w:val="A850B93C"/>
    <w:lvl w:ilvl="0">
      <w:start w:val="1"/>
      <w:numFmt w:val="decimal"/>
      <w:lvlText w:val="%1.0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EAA1D63"/>
    <w:multiLevelType w:val="hybridMultilevel"/>
    <w:tmpl w:val="45BC92EC"/>
    <w:lvl w:ilvl="0" w:tplc="C6D8ECE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5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3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A4"/>
    <w:rsid w:val="00001234"/>
    <w:rsid w:val="00006291"/>
    <w:rsid w:val="000123A3"/>
    <w:rsid w:val="000221CC"/>
    <w:rsid w:val="00032908"/>
    <w:rsid w:val="000442A9"/>
    <w:rsid w:val="0005267E"/>
    <w:rsid w:val="00054660"/>
    <w:rsid w:val="00057A0A"/>
    <w:rsid w:val="00067CAF"/>
    <w:rsid w:val="000773F0"/>
    <w:rsid w:val="00077EAD"/>
    <w:rsid w:val="00096C7F"/>
    <w:rsid w:val="00097657"/>
    <w:rsid w:val="000A2B8D"/>
    <w:rsid w:val="000B1AE1"/>
    <w:rsid w:val="000C54B8"/>
    <w:rsid w:val="000D316B"/>
    <w:rsid w:val="000E4B8A"/>
    <w:rsid w:val="000E7569"/>
    <w:rsid w:val="000F7856"/>
    <w:rsid w:val="0011228F"/>
    <w:rsid w:val="001179D2"/>
    <w:rsid w:val="00123E17"/>
    <w:rsid w:val="001269CA"/>
    <w:rsid w:val="001325ED"/>
    <w:rsid w:val="001569A2"/>
    <w:rsid w:val="0016252E"/>
    <w:rsid w:val="00163F0D"/>
    <w:rsid w:val="00183075"/>
    <w:rsid w:val="001A1F81"/>
    <w:rsid w:val="001A5551"/>
    <w:rsid w:val="001A7842"/>
    <w:rsid w:val="001C1A42"/>
    <w:rsid w:val="001D39BD"/>
    <w:rsid w:val="001E4458"/>
    <w:rsid w:val="001E6EC9"/>
    <w:rsid w:val="00205415"/>
    <w:rsid w:val="00215EA9"/>
    <w:rsid w:val="00217E6A"/>
    <w:rsid w:val="00223DBE"/>
    <w:rsid w:val="00227229"/>
    <w:rsid w:val="002278D6"/>
    <w:rsid w:val="002300E3"/>
    <w:rsid w:val="00234919"/>
    <w:rsid w:val="00243A2A"/>
    <w:rsid w:val="00260386"/>
    <w:rsid w:val="0026695C"/>
    <w:rsid w:val="0027274E"/>
    <w:rsid w:val="00275731"/>
    <w:rsid w:val="0027769A"/>
    <w:rsid w:val="0028064B"/>
    <w:rsid w:val="00286B20"/>
    <w:rsid w:val="0029080F"/>
    <w:rsid w:val="002B70D7"/>
    <w:rsid w:val="002C708A"/>
    <w:rsid w:val="002D32AA"/>
    <w:rsid w:val="002E1338"/>
    <w:rsid w:val="002E3F01"/>
    <w:rsid w:val="002F4B57"/>
    <w:rsid w:val="003044AB"/>
    <w:rsid w:val="0031483A"/>
    <w:rsid w:val="00327E7C"/>
    <w:rsid w:val="00331CEE"/>
    <w:rsid w:val="0033243D"/>
    <w:rsid w:val="003336D6"/>
    <w:rsid w:val="00334112"/>
    <w:rsid w:val="00341EF5"/>
    <w:rsid w:val="00350B7C"/>
    <w:rsid w:val="00367A11"/>
    <w:rsid w:val="00370440"/>
    <w:rsid w:val="0037209F"/>
    <w:rsid w:val="003869F1"/>
    <w:rsid w:val="00391593"/>
    <w:rsid w:val="00393E9F"/>
    <w:rsid w:val="00395D3E"/>
    <w:rsid w:val="00397A96"/>
    <w:rsid w:val="003A4EAF"/>
    <w:rsid w:val="003B18AA"/>
    <w:rsid w:val="003C0A5F"/>
    <w:rsid w:val="003C5AF6"/>
    <w:rsid w:val="003F0338"/>
    <w:rsid w:val="003F28DE"/>
    <w:rsid w:val="003F430E"/>
    <w:rsid w:val="003F4E3A"/>
    <w:rsid w:val="004249E1"/>
    <w:rsid w:val="004268DF"/>
    <w:rsid w:val="004306EA"/>
    <w:rsid w:val="00430B68"/>
    <w:rsid w:val="00453BC9"/>
    <w:rsid w:val="00456146"/>
    <w:rsid w:val="004722EB"/>
    <w:rsid w:val="00492529"/>
    <w:rsid w:val="00497167"/>
    <w:rsid w:val="004A4F36"/>
    <w:rsid w:val="004B1AC5"/>
    <w:rsid w:val="004C1DA1"/>
    <w:rsid w:val="004C5068"/>
    <w:rsid w:val="004D0515"/>
    <w:rsid w:val="004D2645"/>
    <w:rsid w:val="004D6517"/>
    <w:rsid w:val="004F669D"/>
    <w:rsid w:val="004F74D9"/>
    <w:rsid w:val="00504417"/>
    <w:rsid w:val="00517F2D"/>
    <w:rsid w:val="00522915"/>
    <w:rsid w:val="00524F0F"/>
    <w:rsid w:val="00536C64"/>
    <w:rsid w:val="0055444D"/>
    <w:rsid w:val="0058021B"/>
    <w:rsid w:val="00580DDB"/>
    <w:rsid w:val="005845BE"/>
    <w:rsid w:val="00597549"/>
    <w:rsid w:val="005B5178"/>
    <w:rsid w:val="005B709B"/>
    <w:rsid w:val="005D1D65"/>
    <w:rsid w:val="005D35AB"/>
    <w:rsid w:val="005D4147"/>
    <w:rsid w:val="005D6C42"/>
    <w:rsid w:val="005D6E06"/>
    <w:rsid w:val="005E13BE"/>
    <w:rsid w:val="005E5F28"/>
    <w:rsid w:val="005F2747"/>
    <w:rsid w:val="0061438D"/>
    <w:rsid w:val="00622B41"/>
    <w:rsid w:val="00626D5E"/>
    <w:rsid w:val="006753F2"/>
    <w:rsid w:val="00694C7B"/>
    <w:rsid w:val="006A3902"/>
    <w:rsid w:val="006C2382"/>
    <w:rsid w:val="006E4A05"/>
    <w:rsid w:val="006F7717"/>
    <w:rsid w:val="00705344"/>
    <w:rsid w:val="007103C1"/>
    <w:rsid w:val="00713938"/>
    <w:rsid w:val="0072757F"/>
    <w:rsid w:val="0074367A"/>
    <w:rsid w:val="00773FB8"/>
    <w:rsid w:val="00776F5D"/>
    <w:rsid w:val="00780B5B"/>
    <w:rsid w:val="00785257"/>
    <w:rsid w:val="007949B7"/>
    <w:rsid w:val="007A0254"/>
    <w:rsid w:val="007B0434"/>
    <w:rsid w:val="007B7734"/>
    <w:rsid w:val="007C43E2"/>
    <w:rsid w:val="007D0684"/>
    <w:rsid w:val="007F420B"/>
    <w:rsid w:val="007F4C74"/>
    <w:rsid w:val="0080033D"/>
    <w:rsid w:val="00803A6F"/>
    <w:rsid w:val="00824CCB"/>
    <w:rsid w:val="008251AD"/>
    <w:rsid w:val="00830F68"/>
    <w:rsid w:val="008465FC"/>
    <w:rsid w:val="008474B1"/>
    <w:rsid w:val="0086234F"/>
    <w:rsid w:val="00874400"/>
    <w:rsid w:val="008760AE"/>
    <w:rsid w:val="0088110E"/>
    <w:rsid w:val="00890C36"/>
    <w:rsid w:val="008A3420"/>
    <w:rsid w:val="008A5E10"/>
    <w:rsid w:val="008A6110"/>
    <w:rsid w:val="008A6938"/>
    <w:rsid w:val="008A7F98"/>
    <w:rsid w:val="008B0CE0"/>
    <w:rsid w:val="008B3B74"/>
    <w:rsid w:val="008C2BED"/>
    <w:rsid w:val="008C5074"/>
    <w:rsid w:val="008D0475"/>
    <w:rsid w:val="008E1B83"/>
    <w:rsid w:val="008E1D9C"/>
    <w:rsid w:val="008E24E5"/>
    <w:rsid w:val="00900501"/>
    <w:rsid w:val="009054FE"/>
    <w:rsid w:val="00916E5C"/>
    <w:rsid w:val="00920FCA"/>
    <w:rsid w:val="00936472"/>
    <w:rsid w:val="00946339"/>
    <w:rsid w:val="00946781"/>
    <w:rsid w:val="00953EF2"/>
    <w:rsid w:val="00955CED"/>
    <w:rsid w:val="009579F7"/>
    <w:rsid w:val="00960794"/>
    <w:rsid w:val="00964606"/>
    <w:rsid w:val="009749C7"/>
    <w:rsid w:val="00982EFB"/>
    <w:rsid w:val="00983E40"/>
    <w:rsid w:val="009A55E7"/>
    <w:rsid w:val="009B29ED"/>
    <w:rsid w:val="009C3BCD"/>
    <w:rsid w:val="009E0D18"/>
    <w:rsid w:val="009E44E7"/>
    <w:rsid w:val="009F56D8"/>
    <w:rsid w:val="00A02DEF"/>
    <w:rsid w:val="00A0334E"/>
    <w:rsid w:val="00A03E00"/>
    <w:rsid w:val="00A256C3"/>
    <w:rsid w:val="00A455E7"/>
    <w:rsid w:val="00A56607"/>
    <w:rsid w:val="00A65B51"/>
    <w:rsid w:val="00A74745"/>
    <w:rsid w:val="00AB0000"/>
    <w:rsid w:val="00AB1C38"/>
    <w:rsid w:val="00AB6B6A"/>
    <w:rsid w:val="00AB6F32"/>
    <w:rsid w:val="00AC13DB"/>
    <w:rsid w:val="00AC20A5"/>
    <w:rsid w:val="00AC2D32"/>
    <w:rsid w:val="00AD1623"/>
    <w:rsid w:val="00AE44DE"/>
    <w:rsid w:val="00AF0076"/>
    <w:rsid w:val="00AF3420"/>
    <w:rsid w:val="00B125AB"/>
    <w:rsid w:val="00B13967"/>
    <w:rsid w:val="00B17BD2"/>
    <w:rsid w:val="00B24006"/>
    <w:rsid w:val="00B47593"/>
    <w:rsid w:val="00B60548"/>
    <w:rsid w:val="00B65CD3"/>
    <w:rsid w:val="00B74305"/>
    <w:rsid w:val="00B84E0E"/>
    <w:rsid w:val="00B94928"/>
    <w:rsid w:val="00BA26EE"/>
    <w:rsid w:val="00BA6634"/>
    <w:rsid w:val="00BB4763"/>
    <w:rsid w:val="00BB4C4D"/>
    <w:rsid w:val="00BD2309"/>
    <w:rsid w:val="00BE4A29"/>
    <w:rsid w:val="00BE4AE5"/>
    <w:rsid w:val="00BE5734"/>
    <w:rsid w:val="00BF5B37"/>
    <w:rsid w:val="00BF5DAC"/>
    <w:rsid w:val="00BF7F35"/>
    <w:rsid w:val="00C535DD"/>
    <w:rsid w:val="00C5609D"/>
    <w:rsid w:val="00C62EAD"/>
    <w:rsid w:val="00C748D7"/>
    <w:rsid w:val="00C74F82"/>
    <w:rsid w:val="00C822F6"/>
    <w:rsid w:val="00C839B4"/>
    <w:rsid w:val="00CB0089"/>
    <w:rsid w:val="00CB3914"/>
    <w:rsid w:val="00CB4A4D"/>
    <w:rsid w:val="00CD0F9B"/>
    <w:rsid w:val="00CF36C4"/>
    <w:rsid w:val="00D006F0"/>
    <w:rsid w:val="00D040C8"/>
    <w:rsid w:val="00D06E7F"/>
    <w:rsid w:val="00D070C1"/>
    <w:rsid w:val="00D25307"/>
    <w:rsid w:val="00D34690"/>
    <w:rsid w:val="00D40902"/>
    <w:rsid w:val="00D5585B"/>
    <w:rsid w:val="00D71DAB"/>
    <w:rsid w:val="00D72058"/>
    <w:rsid w:val="00D772AC"/>
    <w:rsid w:val="00D961F9"/>
    <w:rsid w:val="00D9658F"/>
    <w:rsid w:val="00DA024A"/>
    <w:rsid w:val="00DA3A0B"/>
    <w:rsid w:val="00DC3551"/>
    <w:rsid w:val="00DD76BB"/>
    <w:rsid w:val="00DD7BFA"/>
    <w:rsid w:val="00DE4605"/>
    <w:rsid w:val="00DE486C"/>
    <w:rsid w:val="00DF14B3"/>
    <w:rsid w:val="00E0125C"/>
    <w:rsid w:val="00E0535C"/>
    <w:rsid w:val="00E06C9D"/>
    <w:rsid w:val="00E14855"/>
    <w:rsid w:val="00E14A1D"/>
    <w:rsid w:val="00E15501"/>
    <w:rsid w:val="00E16FAF"/>
    <w:rsid w:val="00E240B5"/>
    <w:rsid w:val="00E32174"/>
    <w:rsid w:val="00E33DA4"/>
    <w:rsid w:val="00E377B5"/>
    <w:rsid w:val="00E43351"/>
    <w:rsid w:val="00E55134"/>
    <w:rsid w:val="00E604AB"/>
    <w:rsid w:val="00E834F0"/>
    <w:rsid w:val="00E96F93"/>
    <w:rsid w:val="00E97F99"/>
    <w:rsid w:val="00EA01BC"/>
    <w:rsid w:val="00EA4187"/>
    <w:rsid w:val="00EA637E"/>
    <w:rsid w:val="00EA6B66"/>
    <w:rsid w:val="00EE623B"/>
    <w:rsid w:val="00F01401"/>
    <w:rsid w:val="00F028A2"/>
    <w:rsid w:val="00F1780D"/>
    <w:rsid w:val="00F17C2D"/>
    <w:rsid w:val="00F24012"/>
    <w:rsid w:val="00F47618"/>
    <w:rsid w:val="00F531C8"/>
    <w:rsid w:val="00F547E1"/>
    <w:rsid w:val="00F56E3F"/>
    <w:rsid w:val="00F77538"/>
    <w:rsid w:val="00F85E17"/>
    <w:rsid w:val="00F86021"/>
    <w:rsid w:val="00F90B1A"/>
    <w:rsid w:val="00F970C2"/>
    <w:rsid w:val="00FB1D52"/>
    <w:rsid w:val="00FC492E"/>
    <w:rsid w:val="00FC7376"/>
    <w:rsid w:val="00FC746E"/>
    <w:rsid w:val="00FE6C0E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480A713-92D9-4655-B545-5B640EA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2">
    <w:name w:val="List Bullet 2"/>
    <w:basedOn w:val="Normal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ulletsround">
    <w:name w:val="Bullets (round)"/>
    <w:basedOn w:val="Normal"/>
    <w:link w:val="BulletsroundChar"/>
    <w:pPr>
      <w:numPr>
        <w:numId w:val="2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roundChar">
    <w:name w:val="Bullets (round) Char"/>
    <w:basedOn w:val="DefaultParagraphFont"/>
    <w:link w:val="Bulletsround"/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91">
    <w:name w:val="style91"/>
    <w:basedOn w:val="DefaultParagraphFont"/>
    <w:rPr>
      <w:rFonts w:ascii="Arial" w:hAnsi="Arial" w:cs="Arial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45" w:after="120" w:line="288" w:lineRule="atLeast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spacing w:after="0"/>
    </w:pPr>
    <w:rPr>
      <w:rFonts w:ascii="Tahoma" w:eastAsia="Times New Roman" w:hAnsi="Tahoma" w:cs="Times New Roman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ahoma" w:eastAsia="Times New Roman" w:hAnsi="Tahoma" w:cs="Times New Roman"/>
      <w:b/>
      <w:bCs/>
      <w:color w:val="000000"/>
      <w:sz w:val="20"/>
      <w:szCs w:val="20"/>
      <w:lang w:eastAsia="en-US"/>
    </w:rPr>
  </w:style>
  <w:style w:type="paragraph" w:customStyle="1" w:styleId="Tabletextbullet">
    <w:name w:val="Table text bullet"/>
    <w:basedOn w:val="Normal"/>
    <w:pPr>
      <w:numPr>
        <w:numId w:val="3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spaced-lastbullet">
    <w:name w:val="Bullets (spaced) - last bullet"/>
    <w:basedOn w:val="Normal"/>
    <w:link w:val="Bulletsspaced-lastbulletChar"/>
    <w:uiPriority w:val="99"/>
    <w:pPr>
      <w:tabs>
        <w:tab w:val="num" w:pos="1980"/>
      </w:tabs>
      <w:spacing w:before="120" w:after="240" w:line="240" w:lineRule="auto"/>
      <w:ind w:left="1980" w:hanging="360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Bulletsspaced-lastbulletChar">
    <w:name w:val="Bullets (spaced) - last bullet Char"/>
    <w:link w:val="Bulletsspaced-lastbullet"/>
    <w:uiPriority w:val="99"/>
    <w:locked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text-left">
    <w:name w:val="Table text - left"/>
    <w:basedOn w:val="Normal"/>
    <w:link w:val="Tabletext-leftChar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character" w:customStyle="1" w:styleId="Tabletext-leftChar">
    <w:name w:val="Table text - left Char"/>
    <w:link w:val="Tabletext-left"/>
    <w:locked/>
    <w:rPr>
      <w:rFonts w:ascii="Tahoma" w:eastAsia="Times New Roman" w:hAnsi="Tahoma" w:cs="Times New Roman"/>
      <w:color w:val="000000"/>
      <w:szCs w:val="24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Cs w:val="21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8A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096C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75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65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1F517371E9E46A45F708043690AB1" ma:contentTypeVersion="0" ma:contentTypeDescription="Create a new document." ma:contentTypeScope="" ma:versionID="ef9db39941ff05800fdc71dd2dd996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6CFA-798C-478E-B1CA-89EFAC5DF74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9771C7-FC90-4B7B-A9AF-B37CAE4B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6210BE-7DEB-45E7-ABDA-58E01FBB0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541C9-6E00-4233-BAC6-8D4C7168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Neil Houchen</cp:lastModifiedBy>
  <cp:revision>6</cp:revision>
  <cp:lastPrinted>2016-06-27T13:24:00Z</cp:lastPrinted>
  <dcterms:created xsi:type="dcterms:W3CDTF">2017-05-12T06:57:00Z</dcterms:created>
  <dcterms:modified xsi:type="dcterms:W3CDTF">2017-05-12T07:14:00Z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0x0101006A81F517371E9E46A45F708043690AB1</vt:lpwstr>
  </property>
</Properties>
</file>