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4E" w:rsidRDefault="00A0334E" w:rsidP="008C2BED">
      <w:pPr>
        <w:rPr>
          <w:b/>
        </w:rPr>
      </w:pPr>
    </w:p>
    <w:p w:rsidR="007D5D80" w:rsidRPr="007D5D80" w:rsidRDefault="007D5D80" w:rsidP="008C2BED">
      <w:pPr>
        <w:rPr>
          <w:b/>
        </w:rPr>
      </w:pPr>
    </w:p>
    <w:p w:rsidR="008C2BED" w:rsidRDefault="008C2BED" w:rsidP="008C2BED">
      <w:pPr>
        <w:jc w:val="center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Curriculum</w:t>
      </w:r>
      <w:r w:rsidRPr="003725BD">
        <w:rPr>
          <w:rFonts w:cs="Arial"/>
          <w:sz w:val="72"/>
          <w:szCs w:val="72"/>
        </w:rPr>
        <w:t xml:space="preserve"> Policy</w:t>
      </w:r>
    </w:p>
    <w:p w:rsidR="008C2BED" w:rsidRPr="00BF5DAC" w:rsidRDefault="008C2BED" w:rsidP="00BF5DAC">
      <w:pPr>
        <w:pStyle w:val="NoSpacing"/>
      </w:pPr>
    </w:p>
    <w:p w:rsidR="00BF5DAC" w:rsidRDefault="008C2BED" w:rsidP="00BF5DAC">
      <w:pPr>
        <w:jc w:val="center"/>
        <w:rPr>
          <w:rFonts w:cs="Arial"/>
          <w:sz w:val="28"/>
          <w:szCs w:val="28"/>
        </w:rPr>
      </w:pPr>
      <w:r w:rsidRPr="00F53CC8">
        <w:rPr>
          <w:rFonts w:cs="Arial"/>
          <w:noProof/>
          <w:sz w:val="28"/>
          <w:szCs w:val="28"/>
        </w:rPr>
        <w:drawing>
          <wp:inline distT="0" distB="0" distL="0" distR="0" wp14:anchorId="4BF92B14" wp14:editId="30F6690C">
            <wp:extent cx="3103245" cy="1478280"/>
            <wp:effectExtent l="0" t="0" r="1905" b="7620"/>
            <wp:docPr id="2" name="Picture 2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5"/>
                    <a:stretch/>
                  </pic:blipFill>
                  <pic:spPr bwMode="auto">
                    <a:xfrm>
                      <a:off x="0" y="0"/>
                      <a:ext cx="310324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DAC" w:rsidRDefault="00BF5DAC" w:rsidP="00BF5DAC">
      <w:pPr>
        <w:pStyle w:val="NoSpacing"/>
      </w:pPr>
    </w:p>
    <w:p w:rsidR="00F531C8" w:rsidRPr="003725BD" w:rsidRDefault="00F531C8" w:rsidP="00BF5DAC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8C2BED" w:rsidRPr="009B7134" w:rsidTr="00A03E00">
        <w:trPr>
          <w:jc w:val="center"/>
        </w:trPr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 w:rsidRPr="009B7134">
              <w:rPr>
                <w:rFonts w:cs="Arial"/>
              </w:rPr>
              <w:t xml:space="preserve">Author’s Name: </w:t>
            </w:r>
          </w:p>
        </w:tc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>
              <w:rPr>
                <w:rFonts w:cs="Arial"/>
              </w:rPr>
              <w:t>Mr. N.</w:t>
            </w:r>
            <w:r w:rsidRPr="009B7134">
              <w:rPr>
                <w:rFonts w:cs="Arial"/>
              </w:rPr>
              <w:t xml:space="preserve"> Houchen</w:t>
            </w: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 w:rsidRPr="009B7134">
              <w:rPr>
                <w:rFonts w:cs="Arial"/>
              </w:rPr>
              <w:t>Date Reviewed</w:t>
            </w:r>
          </w:p>
        </w:tc>
        <w:tc>
          <w:tcPr>
            <w:tcW w:w="4428" w:type="dxa"/>
          </w:tcPr>
          <w:p w:rsidR="008C2BED" w:rsidRPr="009B7134" w:rsidRDefault="007D5D80" w:rsidP="00A03E00">
            <w:pPr>
              <w:rPr>
                <w:rFonts w:cs="Arial"/>
              </w:rPr>
            </w:pPr>
            <w:r>
              <w:rPr>
                <w:rFonts w:cs="Arial"/>
              </w:rPr>
              <w:t>June 2017</w:t>
            </w: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8C2BED" w:rsidRPr="009B7134" w:rsidRDefault="008C2BED" w:rsidP="00A03E00">
            <w:pPr>
              <w:rPr>
                <w:rFonts w:cs="Arial"/>
              </w:rPr>
            </w:pPr>
            <w:r w:rsidRPr="009B7134">
              <w:rPr>
                <w:rFonts w:cs="Arial"/>
              </w:rPr>
              <w:t>Date Ratified by Governing Body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  <w:shd w:val="pct12" w:color="auto" w:fill="auto"/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  <w:tc>
          <w:tcPr>
            <w:tcW w:w="4428" w:type="dxa"/>
            <w:shd w:val="pct12" w:color="auto" w:fill="auto"/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 w:rsidRPr="009B7134">
              <w:rPr>
                <w:rFonts w:cs="Arial"/>
              </w:rPr>
              <w:t>Signature of Principal</w:t>
            </w:r>
          </w:p>
        </w:tc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 w:rsidRPr="009B7134">
              <w:rPr>
                <w:rFonts w:cs="Arial"/>
              </w:rPr>
              <w:t>Signature of Chair of Governors</w:t>
            </w:r>
          </w:p>
        </w:tc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</w:tr>
    </w:tbl>
    <w:p w:rsidR="008C2BED" w:rsidRPr="009B7134" w:rsidRDefault="008C2BED" w:rsidP="008C2BED">
      <w:pPr>
        <w:rPr>
          <w:rFonts w:cs="Arial"/>
        </w:rPr>
      </w:pPr>
    </w:p>
    <w:p w:rsidR="008C2BED" w:rsidRDefault="008C2BED" w:rsidP="008C2BED">
      <w:pPr>
        <w:rPr>
          <w:rFonts w:cs="Arial"/>
          <w:sz w:val="28"/>
          <w:szCs w:val="28"/>
        </w:rPr>
      </w:pPr>
    </w:p>
    <w:p w:rsidR="007A0254" w:rsidRDefault="007A0254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GB"/>
        </w:rPr>
        <w:id w:val="16658185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044AB" w:rsidRPr="003044AB" w:rsidRDefault="003044AB" w:rsidP="003044AB">
          <w:pPr>
            <w:pStyle w:val="TOCHeading"/>
            <w:jc w:val="center"/>
            <w:rPr>
              <w:rFonts w:asciiTheme="minorHAnsi" w:hAnsiTheme="minorHAnsi"/>
              <w:color w:val="auto"/>
            </w:rPr>
          </w:pPr>
          <w:r w:rsidRPr="003044AB">
            <w:rPr>
              <w:rFonts w:asciiTheme="minorHAnsi" w:hAnsiTheme="minorHAnsi"/>
              <w:color w:val="auto"/>
            </w:rPr>
            <w:t>Contents</w:t>
          </w:r>
        </w:p>
        <w:p w:rsidR="00572E21" w:rsidRDefault="003044AB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4448545" w:history="1">
            <w:r w:rsidR="00572E21" w:rsidRPr="00F203DF">
              <w:rPr>
                <w:rStyle w:val="Hyperlink"/>
                <w:noProof/>
              </w:rPr>
              <w:t>1.0</w:t>
            </w:r>
            <w:r w:rsidR="00572E21">
              <w:rPr>
                <w:noProof/>
              </w:rPr>
              <w:tab/>
            </w:r>
            <w:r w:rsidR="00572E21" w:rsidRPr="00F203DF">
              <w:rPr>
                <w:rStyle w:val="Hyperlink"/>
                <w:noProof/>
              </w:rPr>
              <w:t>Curriculum Structure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_Toc454448545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3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454448546" w:history="1">
            <w:r w:rsidR="00572E21" w:rsidRPr="00F203DF">
              <w:rPr>
                <w:rStyle w:val="Hyperlink"/>
                <w:rFonts w:cstheme="minorHAnsi"/>
                <w:noProof/>
              </w:rPr>
              <w:t>1.1 Form Time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_Toc454448546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3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454448547" w:history="1">
            <w:r w:rsidR="00572E21" w:rsidRPr="00F203DF">
              <w:rPr>
                <w:rStyle w:val="Hyperlink"/>
                <w:rFonts w:cstheme="minorHAnsi"/>
                <w:noProof/>
              </w:rPr>
              <w:t>1.2 Teaching Periods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_Toc454448547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3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454448550" w:history="1">
            <w:r w:rsidR="00572E21" w:rsidRPr="00F203DF">
              <w:rPr>
                <w:rStyle w:val="Hyperlink"/>
                <w:rFonts w:cstheme="minorHAnsi"/>
                <w:noProof/>
              </w:rPr>
              <w:t>1.3 Key Stage 3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_Toc454448550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4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454448551" w:history="1">
            <w:r w:rsidR="00572E21" w:rsidRPr="00F203DF">
              <w:rPr>
                <w:rStyle w:val="Hyperlink"/>
                <w:rFonts w:cstheme="minorHAnsi"/>
                <w:noProof/>
              </w:rPr>
              <w:t>1.4 Key Stage 4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_Toc454448551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4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3"/>
            <w:tabs>
              <w:tab w:val="right" w:leader="dot" w:pos="13948"/>
            </w:tabs>
            <w:rPr>
              <w:noProof/>
            </w:rPr>
          </w:pPr>
          <w:hyperlink w:anchor="_Toc454448552" w:history="1">
            <w:r w:rsidR="00572E21" w:rsidRPr="00F203DF">
              <w:rPr>
                <w:rStyle w:val="Hyperlink"/>
                <w:noProof/>
              </w:rPr>
              <w:t>1.41 Option Subjects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_Toc454448552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5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3"/>
            <w:tabs>
              <w:tab w:val="right" w:leader="dot" w:pos="13948"/>
            </w:tabs>
            <w:rPr>
              <w:noProof/>
            </w:rPr>
          </w:pPr>
          <w:hyperlink w:anchor="_Toc454448553" w:history="1">
            <w:r w:rsidR="00572E21" w:rsidRPr="00F203DF">
              <w:rPr>
                <w:rStyle w:val="Hyperlink"/>
                <w:noProof/>
              </w:rPr>
              <w:t>1.42 Life Skills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_Toc454448553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6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3"/>
            <w:tabs>
              <w:tab w:val="right" w:leader="dot" w:pos="13948"/>
            </w:tabs>
            <w:rPr>
              <w:noProof/>
            </w:rPr>
          </w:pPr>
          <w:hyperlink w:anchor="_Toc454448554" w:history="1">
            <w:r w:rsidR="00572E21" w:rsidRPr="00F203DF">
              <w:rPr>
                <w:rStyle w:val="Hyperlink"/>
                <w:noProof/>
              </w:rPr>
              <w:t>1.43 Personal Development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_Toc454448554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6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454448555" w:history="1">
            <w:r w:rsidR="00572E21" w:rsidRPr="00F203DF">
              <w:rPr>
                <w:rStyle w:val="Hyperlink"/>
                <w:noProof/>
              </w:rPr>
              <w:t>2.0</w:t>
            </w:r>
            <w:r w:rsidR="00572E21">
              <w:rPr>
                <w:noProof/>
              </w:rPr>
              <w:tab/>
            </w:r>
            <w:r w:rsidR="00572E21" w:rsidRPr="00F203DF">
              <w:rPr>
                <w:rStyle w:val="Hyperlink"/>
                <w:noProof/>
              </w:rPr>
              <w:t>Mastery Curriculum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_Toc454448555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6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454448556" w:history="1">
            <w:r w:rsidR="00572E21" w:rsidRPr="00F203DF">
              <w:rPr>
                <w:rStyle w:val="Hyperlink"/>
                <w:noProof/>
              </w:rPr>
              <w:t>3.0</w:t>
            </w:r>
            <w:r w:rsidR="00572E21">
              <w:rPr>
                <w:noProof/>
              </w:rPr>
              <w:tab/>
            </w:r>
            <w:r w:rsidR="00572E21" w:rsidRPr="00F203DF">
              <w:rPr>
                <w:rStyle w:val="Hyperlink"/>
                <w:noProof/>
              </w:rPr>
              <w:t>Teaching and Learning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_Toc454448556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6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454448557" w:history="1">
            <w:r w:rsidR="00572E21" w:rsidRPr="00F203DF">
              <w:rPr>
                <w:rStyle w:val="Hyperlink"/>
                <w:noProof/>
              </w:rPr>
              <w:t>4.0</w:t>
            </w:r>
            <w:r w:rsidR="00572E21">
              <w:rPr>
                <w:noProof/>
              </w:rPr>
              <w:tab/>
            </w:r>
            <w:r w:rsidR="00572E21" w:rsidRPr="00F203DF">
              <w:rPr>
                <w:rStyle w:val="Hyperlink"/>
                <w:noProof/>
              </w:rPr>
              <w:t>Marking and Assessment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_Toc454448557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7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454448558" w:history="1">
            <w:r w:rsidR="00572E21" w:rsidRPr="00F203DF">
              <w:rPr>
                <w:rStyle w:val="Hyperlink"/>
                <w:noProof/>
              </w:rPr>
              <w:t>5.0</w:t>
            </w:r>
            <w:r w:rsidR="00572E21">
              <w:rPr>
                <w:noProof/>
              </w:rPr>
              <w:tab/>
            </w:r>
            <w:r w:rsidR="00572E21" w:rsidRPr="00F203DF">
              <w:rPr>
                <w:rStyle w:val="Hyperlink"/>
                <w:noProof/>
              </w:rPr>
              <w:t>Homework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_Toc454448558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7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454448559" w:history="1">
            <w:r w:rsidR="00572E21" w:rsidRPr="00F203DF">
              <w:rPr>
                <w:rStyle w:val="Hyperlink"/>
                <w:noProof/>
              </w:rPr>
              <w:t>6.0</w:t>
            </w:r>
            <w:r w:rsidR="00572E21">
              <w:rPr>
                <w:noProof/>
              </w:rPr>
              <w:tab/>
            </w:r>
            <w:r w:rsidR="00572E21" w:rsidRPr="00F203DF">
              <w:rPr>
                <w:rStyle w:val="Hyperlink"/>
                <w:noProof/>
              </w:rPr>
              <w:t>PSHEE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_Toc454448559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7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454448560" w:history="1">
            <w:r w:rsidR="00572E21" w:rsidRPr="00F203DF">
              <w:rPr>
                <w:rStyle w:val="Hyperlink"/>
                <w:noProof/>
              </w:rPr>
              <w:t>7.0</w:t>
            </w:r>
            <w:r w:rsidR="00572E21">
              <w:rPr>
                <w:noProof/>
              </w:rPr>
              <w:tab/>
            </w:r>
            <w:r w:rsidR="00572E21" w:rsidRPr="00F203DF">
              <w:rPr>
                <w:rStyle w:val="Hyperlink"/>
                <w:noProof/>
              </w:rPr>
              <w:t>Literacy and Numeracy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_Toc454448560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7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454448561" w:history="1">
            <w:r w:rsidR="00572E21" w:rsidRPr="00F203DF">
              <w:rPr>
                <w:rStyle w:val="Hyperlink"/>
                <w:noProof/>
              </w:rPr>
              <w:t>8.0</w:t>
            </w:r>
            <w:r w:rsidR="00572E21">
              <w:rPr>
                <w:noProof/>
              </w:rPr>
              <w:tab/>
            </w:r>
            <w:r w:rsidR="00572E21" w:rsidRPr="00F203DF">
              <w:rPr>
                <w:rStyle w:val="Hyperlink"/>
                <w:noProof/>
              </w:rPr>
              <w:t>Collective Worship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_Toc454448561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7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454448562" w:history="1">
            <w:r w:rsidR="00572E21" w:rsidRPr="00F203DF">
              <w:rPr>
                <w:rStyle w:val="Hyperlink"/>
                <w:noProof/>
              </w:rPr>
              <w:t>9.0</w:t>
            </w:r>
            <w:r w:rsidR="00572E21">
              <w:rPr>
                <w:noProof/>
              </w:rPr>
              <w:tab/>
            </w:r>
            <w:r w:rsidR="00572E21" w:rsidRPr="00F203DF">
              <w:rPr>
                <w:rStyle w:val="Hyperlink"/>
                <w:noProof/>
              </w:rPr>
              <w:t>Careers Education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_Toc454448562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8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572E21" w:rsidRDefault="00C9427A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454448563" w:history="1">
            <w:r w:rsidR="00572E21" w:rsidRPr="00F203DF">
              <w:rPr>
                <w:rStyle w:val="Hyperlink"/>
                <w:noProof/>
              </w:rPr>
              <w:t>10.0</w:t>
            </w:r>
            <w:r w:rsidR="00572E21">
              <w:rPr>
                <w:noProof/>
              </w:rPr>
              <w:tab/>
            </w:r>
            <w:r w:rsidR="00572E21" w:rsidRPr="00F203DF">
              <w:rPr>
                <w:rStyle w:val="Hyperlink"/>
                <w:noProof/>
              </w:rPr>
              <w:t>Celebrating Success</w:t>
            </w:r>
            <w:r w:rsidR="00572E21">
              <w:rPr>
                <w:noProof/>
                <w:webHidden/>
              </w:rPr>
              <w:tab/>
            </w:r>
            <w:r w:rsidR="00572E21">
              <w:rPr>
                <w:noProof/>
                <w:webHidden/>
              </w:rPr>
              <w:fldChar w:fldCharType="begin"/>
            </w:r>
            <w:r w:rsidR="00572E21">
              <w:rPr>
                <w:noProof/>
                <w:webHidden/>
              </w:rPr>
              <w:instrText xml:space="preserve"> PAGEREF _Toc454448563 \h </w:instrText>
            </w:r>
            <w:r w:rsidR="00572E21">
              <w:rPr>
                <w:noProof/>
                <w:webHidden/>
              </w:rPr>
            </w:r>
            <w:r w:rsidR="00572E21">
              <w:rPr>
                <w:noProof/>
                <w:webHidden/>
              </w:rPr>
              <w:fldChar w:fldCharType="separate"/>
            </w:r>
            <w:r w:rsidR="00961D66">
              <w:rPr>
                <w:noProof/>
                <w:webHidden/>
              </w:rPr>
              <w:t>8</w:t>
            </w:r>
            <w:r w:rsidR="00572E21">
              <w:rPr>
                <w:noProof/>
                <w:webHidden/>
              </w:rPr>
              <w:fldChar w:fldCharType="end"/>
            </w:r>
          </w:hyperlink>
        </w:p>
        <w:p w:rsidR="003044AB" w:rsidRDefault="003044AB">
          <w:r>
            <w:rPr>
              <w:b/>
              <w:bCs/>
              <w:noProof/>
            </w:rPr>
            <w:fldChar w:fldCharType="end"/>
          </w:r>
        </w:p>
      </w:sdtContent>
    </w:sdt>
    <w:p w:rsidR="003044AB" w:rsidRDefault="003044AB"/>
    <w:p w:rsidR="007949B7" w:rsidRPr="007949B7" w:rsidRDefault="007949B7" w:rsidP="007949B7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0" w:name="_Toc454448545"/>
      <w:r w:rsidRPr="007949B7">
        <w:rPr>
          <w:rFonts w:asciiTheme="minorHAnsi" w:hAnsiTheme="minorHAnsi"/>
          <w:color w:val="auto"/>
        </w:rPr>
        <w:lastRenderedPageBreak/>
        <w:t>Curriculum Structure</w:t>
      </w:r>
      <w:bookmarkEnd w:id="0"/>
    </w:p>
    <w:p w:rsidR="007949B7" w:rsidRPr="007949B7" w:rsidRDefault="007949B7" w:rsidP="007949B7">
      <w:pPr>
        <w:pStyle w:val="NoSpacing"/>
      </w:pPr>
    </w:p>
    <w:p w:rsidR="00830F68" w:rsidRPr="0074367A" w:rsidRDefault="007949B7" w:rsidP="007949B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4367A">
        <w:rPr>
          <w:rFonts w:ascii="Calibri" w:hAnsi="Calibri" w:cs="Calibri"/>
          <w:color w:val="000000"/>
        </w:rPr>
        <w:t xml:space="preserve">The Academy </w:t>
      </w:r>
      <w:r w:rsidR="00830F68">
        <w:rPr>
          <w:rFonts w:ascii="Calibri" w:hAnsi="Calibri" w:cs="Calibri"/>
          <w:color w:val="000000"/>
        </w:rPr>
        <w:t xml:space="preserve">broadly </w:t>
      </w:r>
      <w:r w:rsidRPr="0074367A">
        <w:rPr>
          <w:rFonts w:ascii="Calibri" w:hAnsi="Calibri" w:cs="Calibri"/>
          <w:color w:val="000000"/>
        </w:rPr>
        <w:t>follows the curriculum guidance outlined in the Single Academy Mode</w:t>
      </w:r>
      <w:bookmarkStart w:id="1" w:name="_Toc423425214"/>
      <w:r w:rsidR="00830F68">
        <w:rPr>
          <w:rFonts w:ascii="Calibri" w:hAnsi="Calibri" w:cs="Calibri"/>
          <w:color w:val="000000"/>
        </w:rPr>
        <w:t>l Mainstream Funding Agreement.</w:t>
      </w:r>
    </w:p>
    <w:p w:rsidR="006E4A05" w:rsidRDefault="006E4A05" w:rsidP="006E4A05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454448546"/>
      <w:r w:rsidRPr="007949B7">
        <w:rPr>
          <w:rFonts w:asciiTheme="minorHAnsi" w:hAnsiTheme="minorHAnsi" w:cstheme="minorHAnsi"/>
          <w:color w:val="auto"/>
          <w:sz w:val="22"/>
          <w:szCs w:val="22"/>
        </w:rPr>
        <w:t xml:space="preserve">1.1 </w:t>
      </w:r>
      <w:r>
        <w:rPr>
          <w:rFonts w:asciiTheme="minorHAnsi" w:hAnsiTheme="minorHAnsi" w:cstheme="minorHAnsi"/>
          <w:color w:val="auto"/>
          <w:sz w:val="22"/>
          <w:szCs w:val="22"/>
        </w:rPr>
        <w:t>Form Time</w:t>
      </w:r>
      <w:bookmarkEnd w:id="2"/>
    </w:p>
    <w:p w:rsidR="00830F68" w:rsidRPr="00830F68" w:rsidRDefault="00830F68" w:rsidP="00830F68">
      <w:pPr>
        <w:pStyle w:val="NoSpacing"/>
      </w:pPr>
    </w:p>
    <w:p w:rsidR="006E4A05" w:rsidRPr="00830F68" w:rsidRDefault="006E4A05" w:rsidP="00830F68">
      <w:pPr>
        <w:pStyle w:val="NoSpacing"/>
      </w:pPr>
      <w:r w:rsidRPr="006E4A05">
        <w:t xml:space="preserve">Form time </w:t>
      </w:r>
      <w:r w:rsidR="00830F68" w:rsidRPr="00830F68">
        <w:t xml:space="preserve">is 20 minutes per day </w:t>
      </w:r>
      <w:r w:rsidRPr="00830F68">
        <w:t>from</w:t>
      </w:r>
      <w:r w:rsidRPr="006E4A05">
        <w:t xml:space="preserve"> 8.40 – 9.00 a.m. </w:t>
      </w:r>
      <w:r>
        <w:t>Registration occurs during this time and pupils are expected to undertake literacy-based activities which principally involve silent reading.*</w:t>
      </w:r>
    </w:p>
    <w:p w:rsidR="006E4A05" w:rsidRPr="006E4A05" w:rsidRDefault="006E4A05" w:rsidP="00830F68">
      <w:pPr>
        <w:pStyle w:val="NoSpacing"/>
      </w:pPr>
    </w:p>
    <w:p w:rsidR="00393E9F" w:rsidRDefault="00830F68" w:rsidP="00830F68">
      <w:pPr>
        <w:pStyle w:val="NoSpacing"/>
      </w:pPr>
      <w:r>
        <w:t>For each year group, o</w:t>
      </w:r>
      <w:r w:rsidR="006E4A05">
        <w:t xml:space="preserve">ne form period a week is </w:t>
      </w:r>
      <w:r>
        <w:t>allocated to an assembly – refer to the Assemblies Programme.</w:t>
      </w:r>
    </w:p>
    <w:p w:rsidR="00393E9F" w:rsidRDefault="00393E9F" w:rsidP="00393E9F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454448547"/>
      <w:r>
        <w:rPr>
          <w:rFonts w:asciiTheme="minorHAnsi" w:hAnsiTheme="minorHAnsi" w:cstheme="minorHAnsi"/>
          <w:color w:val="auto"/>
          <w:sz w:val="22"/>
          <w:szCs w:val="22"/>
        </w:rPr>
        <w:t>1.2</w:t>
      </w:r>
      <w:r w:rsidRPr="007949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Teaching Periods</w:t>
      </w:r>
      <w:bookmarkEnd w:id="3"/>
    </w:p>
    <w:p w:rsidR="00393E9F" w:rsidRDefault="00393E9F" w:rsidP="00393E9F">
      <w:pPr>
        <w:pStyle w:val="Heading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bookmarkStart w:id="4" w:name="_Toc453578318"/>
      <w:bookmarkStart w:id="5" w:name="_Toc454448548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The Academy operates a one week timetable covering 25 periods a week.</w:t>
      </w:r>
      <w:bookmarkEnd w:id="4"/>
      <w:bookmarkEnd w:id="5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393E9F" w:rsidRDefault="00393E9F" w:rsidP="00393E9F">
      <w:pPr>
        <w:pStyle w:val="NoSpacing"/>
      </w:pPr>
    </w:p>
    <w:p w:rsidR="00393E9F" w:rsidRDefault="00830F68" w:rsidP="00393E9F">
      <w:pPr>
        <w:pStyle w:val="NoSpacing"/>
      </w:pPr>
      <w:r>
        <w:t>To maximise the amount and quality</w:t>
      </w:r>
      <w:r w:rsidR="00393E9F">
        <w:t xml:space="preserve"> of learning time, each teaching period </w:t>
      </w:r>
      <w:r w:rsidR="00FC5F3D">
        <w:t xml:space="preserve">is </w:t>
      </w:r>
      <w:r w:rsidR="00A92B28">
        <w:t>65 minutes</w:t>
      </w:r>
      <w:r>
        <w:t xml:space="preserve"> in length </w:t>
      </w:r>
      <w:r w:rsidR="00393E9F">
        <w:t xml:space="preserve">and only one period is allocated after lunch. </w:t>
      </w:r>
    </w:p>
    <w:p w:rsidR="0074367A" w:rsidRDefault="0074367A" w:rsidP="00393E9F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6949"/>
      </w:tblGrid>
      <w:tr w:rsidR="00A92B28" w:rsidTr="00393E9F">
        <w:trPr>
          <w:jc w:val="center"/>
        </w:trPr>
        <w:tc>
          <w:tcPr>
            <w:tcW w:w="6948" w:type="dxa"/>
            <w:shd w:val="pct10" w:color="auto" w:fill="auto"/>
          </w:tcPr>
          <w:p w:rsidR="00A92B28" w:rsidRDefault="00A92B28" w:rsidP="00A92B28">
            <w:pPr>
              <w:pStyle w:val="NoSpacing"/>
              <w:jc w:val="center"/>
            </w:pPr>
            <w:r>
              <w:rPr>
                <w:b/>
                <w:bCs/>
              </w:rPr>
              <w:t>Period</w:t>
            </w:r>
          </w:p>
        </w:tc>
        <w:tc>
          <w:tcPr>
            <w:tcW w:w="6949" w:type="dxa"/>
            <w:shd w:val="pct10" w:color="auto" w:fill="auto"/>
          </w:tcPr>
          <w:p w:rsidR="00A92B28" w:rsidRDefault="00A92B28" w:rsidP="00A92B28">
            <w:pPr>
              <w:pStyle w:val="NoSpacing"/>
              <w:jc w:val="center"/>
            </w:pPr>
            <w:r>
              <w:rPr>
                <w:b/>
                <w:bCs/>
              </w:rPr>
              <w:t>Time</w:t>
            </w:r>
          </w:p>
        </w:tc>
      </w:tr>
      <w:tr w:rsidR="00A92B28" w:rsidTr="00393E9F">
        <w:trPr>
          <w:jc w:val="center"/>
        </w:trPr>
        <w:tc>
          <w:tcPr>
            <w:tcW w:w="6948" w:type="dxa"/>
          </w:tcPr>
          <w:p w:rsidR="00A92B28" w:rsidRDefault="00A92B28" w:rsidP="00A92B28">
            <w:pPr>
              <w:pStyle w:val="NoSpacing"/>
              <w:jc w:val="center"/>
            </w:pPr>
            <w:r>
              <w:t>Form Time</w:t>
            </w:r>
          </w:p>
        </w:tc>
        <w:tc>
          <w:tcPr>
            <w:tcW w:w="6949" w:type="dxa"/>
          </w:tcPr>
          <w:p w:rsidR="00A92B28" w:rsidRDefault="00A92B28" w:rsidP="00A92B28">
            <w:pPr>
              <w:pStyle w:val="NoSpacing"/>
              <w:jc w:val="center"/>
            </w:pPr>
            <w:r>
              <w:t>8.40-9.00</w:t>
            </w:r>
          </w:p>
        </w:tc>
      </w:tr>
      <w:tr w:rsidR="00A92B28" w:rsidTr="00393E9F">
        <w:trPr>
          <w:jc w:val="center"/>
        </w:trPr>
        <w:tc>
          <w:tcPr>
            <w:tcW w:w="6948" w:type="dxa"/>
          </w:tcPr>
          <w:p w:rsidR="00A92B28" w:rsidRDefault="00A92B28" w:rsidP="00A92B28">
            <w:pPr>
              <w:pStyle w:val="NoSpacing"/>
              <w:jc w:val="center"/>
            </w:pPr>
            <w:r>
              <w:t>P1</w:t>
            </w:r>
          </w:p>
        </w:tc>
        <w:tc>
          <w:tcPr>
            <w:tcW w:w="6949" w:type="dxa"/>
          </w:tcPr>
          <w:p w:rsidR="00A92B28" w:rsidRDefault="00A92B28" w:rsidP="00A92B28">
            <w:pPr>
              <w:pStyle w:val="NoSpacing"/>
              <w:jc w:val="center"/>
            </w:pPr>
            <w:r>
              <w:t>9.00-10.05</w:t>
            </w:r>
          </w:p>
        </w:tc>
      </w:tr>
      <w:tr w:rsidR="00A92B28" w:rsidTr="00393E9F">
        <w:trPr>
          <w:jc w:val="center"/>
        </w:trPr>
        <w:tc>
          <w:tcPr>
            <w:tcW w:w="6948" w:type="dxa"/>
          </w:tcPr>
          <w:p w:rsidR="00A92B28" w:rsidRDefault="00A92B28" w:rsidP="00A92B28">
            <w:pPr>
              <w:pStyle w:val="NoSpacing"/>
              <w:jc w:val="center"/>
            </w:pPr>
            <w:r>
              <w:t>P2</w:t>
            </w:r>
          </w:p>
        </w:tc>
        <w:tc>
          <w:tcPr>
            <w:tcW w:w="6949" w:type="dxa"/>
          </w:tcPr>
          <w:p w:rsidR="00A92B28" w:rsidRDefault="00A92B28" w:rsidP="00A92B28">
            <w:pPr>
              <w:pStyle w:val="NoSpacing"/>
              <w:jc w:val="center"/>
            </w:pPr>
            <w:r>
              <w:t>10.05-11.10</w:t>
            </w:r>
          </w:p>
        </w:tc>
      </w:tr>
      <w:tr w:rsidR="00A92B28" w:rsidTr="00393E9F">
        <w:trPr>
          <w:jc w:val="center"/>
        </w:trPr>
        <w:tc>
          <w:tcPr>
            <w:tcW w:w="6948" w:type="dxa"/>
          </w:tcPr>
          <w:p w:rsidR="00A92B28" w:rsidRDefault="00A92B28" w:rsidP="00A92B28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6949" w:type="dxa"/>
          </w:tcPr>
          <w:p w:rsidR="00A92B28" w:rsidRDefault="00A92B28" w:rsidP="00A92B28">
            <w:pPr>
              <w:pStyle w:val="NoSpacing"/>
              <w:jc w:val="center"/>
            </w:pPr>
            <w:r>
              <w:t>11.10-11.30</w:t>
            </w:r>
          </w:p>
        </w:tc>
      </w:tr>
      <w:tr w:rsidR="00A92B28" w:rsidTr="00393E9F">
        <w:trPr>
          <w:jc w:val="center"/>
        </w:trPr>
        <w:tc>
          <w:tcPr>
            <w:tcW w:w="6948" w:type="dxa"/>
          </w:tcPr>
          <w:p w:rsidR="00A92B28" w:rsidRDefault="00A92B28" w:rsidP="00A92B28">
            <w:pPr>
              <w:pStyle w:val="NoSpacing"/>
              <w:jc w:val="center"/>
            </w:pPr>
            <w:r>
              <w:t>P3</w:t>
            </w:r>
          </w:p>
        </w:tc>
        <w:tc>
          <w:tcPr>
            <w:tcW w:w="6949" w:type="dxa"/>
          </w:tcPr>
          <w:p w:rsidR="00A92B28" w:rsidRDefault="00A92B28" w:rsidP="00A92B28">
            <w:pPr>
              <w:pStyle w:val="NoSpacing"/>
              <w:jc w:val="center"/>
            </w:pPr>
            <w:r>
              <w:t>11.30-12.35</w:t>
            </w:r>
          </w:p>
        </w:tc>
      </w:tr>
      <w:tr w:rsidR="00A92B28" w:rsidTr="00393E9F">
        <w:trPr>
          <w:jc w:val="center"/>
        </w:trPr>
        <w:tc>
          <w:tcPr>
            <w:tcW w:w="6948" w:type="dxa"/>
          </w:tcPr>
          <w:p w:rsidR="00A92B28" w:rsidRDefault="00A92B28" w:rsidP="00A92B28">
            <w:pPr>
              <w:pStyle w:val="NoSpacing"/>
              <w:jc w:val="center"/>
            </w:pPr>
            <w:r>
              <w:t>P4</w:t>
            </w:r>
          </w:p>
        </w:tc>
        <w:tc>
          <w:tcPr>
            <w:tcW w:w="6949" w:type="dxa"/>
          </w:tcPr>
          <w:p w:rsidR="00A92B28" w:rsidRDefault="00A92B28" w:rsidP="00A92B28">
            <w:pPr>
              <w:pStyle w:val="NoSpacing"/>
              <w:jc w:val="center"/>
            </w:pPr>
            <w:r>
              <w:t>12.35-13.40</w:t>
            </w:r>
          </w:p>
        </w:tc>
      </w:tr>
      <w:tr w:rsidR="00A92B28" w:rsidTr="00393E9F">
        <w:trPr>
          <w:jc w:val="center"/>
        </w:trPr>
        <w:tc>
          <w:tcPr>
            <w:tcW w:w="6948" w:type="dxa"/>
          </w:tcPr>
          <w:p w:rsidR="00A92B28" w:rsidRDefault="00A92B28" w:rsidP="00A92B28">
            <w:pPr>
              <w:pStyle w:val="NoSpacing"/>
              <w:jc w:val="center"/>
            </w:pPr>
            <w:r>
              <w:t>Lunch</w:t>
            </w:r>
          </w:p>
        </w:tc>
        <w:tc>
          <w:tcPr>
            <w:tcW w:w="6949" w:type="dxa"/>
          </w:tcPr>
          <w:p w:rsidR="00A92B28" w:rsidRDefault="00A92B28" w:rsidP="00A92B28">
            <w:pPr>
              <w:pStyle w:val="NoSpacing"/>
              <w:jc w:val="center"/>
            </w:pPr>
            <w:r>
              <w:t>13.40-14.30</w:t>
            </w:r>
          </w:p>
        </w:tc>
      </w:tr>
      <w:tr w:rsidR="00A92B28" w:rsidTr="00393E9F">
        <w:trPr>
          <w:jc w:val="center"/>
        </w:trPr>
        <w:tc>
          <w:tcPr>
            <w:tcW w:w="6948" w:type="dxa"/>
          </w:tcPr>
          <w:p w:rsidR="00A92B28" w:rsidRDefault="00A92B28" w:rsidP="00A92B28">
            <w:pPr>
              <w:pStyle w:val="NoSpacing"/>
              <w:jc w:val="center"/>
            </w:pPr>
            <w:r>
              <w:t>P5</w:t>
            </w:r>
          </w:p>
        </w:tc>
        <w:tc>
          <w:tcPr>
            <w:tcW w:w="6949" w:type="dxa"/>
          </w:tcPr>
          <w:p w:rsidR="00A92B28" w:rsidRDefault="00A92B28" w:rsidP="00A92B28">
            <w:pPr>
              <w:pStyle w:val="NoSpacing"/>
              <w:jc w:val="center"/>
            </w:pPr>
            <w:r>
              <w:t>14.30-15.35</w:t>
            </w:r>
          </w:p>
        </w:tc>
      </w:tr>
    </w:tbl>
    <w:p w:rsidR="0074367A" w:rsidRDefault="0074367A" w:rsidP="0074367A">
      <w:pPr>
        <w:pStyle w:val="Heading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bookmarkStart w:id="6" w:name="_Toc453578319"/>
      <w:bookmarkStart w:id="7" w:name="_Toc454448549"/>
      <w:r w:rsidRPr="006E4A05">
        <w:rPr>
          <w:rFonts w:asciiTheme="minorHAnsi" w:hAnsiTheme="minorHAnsi" w:cstheme="minorHAnsi"/>
          <w:b w:val="0"/>
          <w:color w:val="auto"/>
          <w:sz w:val="18"/>
          <w:szCs w:val="18"/>
        </w:rPr>
        <w:t>*</w:t>
      </w:r>
      <w:r w:rsidR="00BA6634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Year 7 </w:t>
      </w:r>
      <w:r w:rsidRPr="006E4A05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Catch-up-Premium pupils work with teaching staff and LSAs until they reach a </w:t>
      </w:r>
      <w:r w:rsidR="003044AB">
        <w:rPr>
          <w:rFonts w:asciiTheme="minorHAnsi" w:hAnsiTheme="minorHAnsi" w:cstheme="minorHAnsi"/>
          <w:b w:val="0"/>
          <w:color w:val="auto"/>
          <w:sz w:val="18"/>
          <w:szCs w:val="18"/>
        </w:rPr>
        <w:t>Level 4 in English and M</w:t>
      </w:r>
      <w:r w:rsidRPr="006E4A05">
        <w:rPr>
          <w:rFonts w:asciiTheme="minorHAnsi" w:hAnsiTheme="minorHAnsi" w:cstheme="minorHAnsi"/>
          <w:b w:val="0"/>
          <w:color w:val="auto"/>
          <w:sz w:val="18"/>
          <w:szCs w:val="18"/>
        </w:rPr>
        <w:t>athematics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bookmarkEnd w:id="6"/>
      <w:bookmarkEnd w:id="7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</w:p>
    <w:p w:rsidR="00830F68" w:rsidRPr="00830F68" w:rsidRDefault="00830F68" w:rsidP="00830F68"/>
    <w:p w:rsidR="006E4A05" w:rsidRPr="007949B7" w:rsidRDefault="006E4A05" w:rsidP="006E4A05">
      <w:pPr>
        <w:pStyle w:val="NoSpacing"/>
      </w:pPr>
    </w:p>
    <w:p w:rsidR="007949B7" w:rsidRPr="007949B7" w:rsidRDefault="00BA6634" w:rsidP="007949B7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Toc454448550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1.3</w:t>
      </w:r>
      <w:r w:rsidR="007949B7" w:rsidRPr="007949B7">
        <w:rPr>
          <w:rFonts w:asciiTheme="minorHAnsi" w:hAnsiTheme="minorHAnsi" w:cstheme="minorHAnsi"/>
          <w:color w:val="auto"/>
          <w:sz w:val="22"/>
          <w:szCs w:val="22"/>
        </w:rPr>
        <w:t xml:space="preserve"> Key Stage 3</w:t>
      </w:r>
      <w:bookmarkEnd w:id="1"/>
      <w:bookmarkEnd w:id="8"/>
      <w:r w:rsidR="007949B7" w:rsidRPr="007949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949B7" w:rsidRDefault="007949B7" w:rsidP="007949B7">
      <w:pPr>
        <w:pStyle w:val="NoSpacing"/>
      </w:pPr>
    </w:p>
    <w:p w:rsidR="00BA6634" w:rsidRPr="00BA6634" w:rsidRDefault="00EA637E" w:rsidP="007949B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="007949B7" w:rsidRPr="00BA6634">
        <w:rPr>
          <w:rFonts w:ascii="Calibri" w:hAnsi="Calibri" w:cs="Calibri"/>
          <w:color w:val="000000"/>
        </w:rPr>
        <w:t>Key Stage 3</w:t>
      </w:r>
      <w:r>
        <w:rPr>
          <w:rFonts w:ascii="Calibri" w:hAnsi="Calibri" w:cs="Calibri"/>
          <w:color w:val="000000"/>
        </w:rPr>
        <w:t xml:space="preserve"> curriculum </w:t>
      </w:r>
      <w:r w:rsidR="00BA6634" w:rsidRPr="00BA6634">
        <w:rPr>
          <w:rFonts w:ascii="Calibri" w:hAnsi="Calibri" w:cs="Calibri"/>
          <w:color w:val="000000"/>
        </w:rPr>
        <w:t>is delivered in</w:t>
      </w:r>
      <w:r w:rsidR="007949B7" w:rsidRPr="00BA6634">
        <w:rPr>
          <w:rFonts w:ascii="Calibri" w:hAnsi="Calibri" w:cs="Calibri"/>
          <w:color w:val="000000"/>
        </w:rPr>
        <w:t xml:space="preserve"> Year 7 and Year 8. </w:t>
      </w:r>
    </w:p>
    <w:p w:rsidR="007949B7" w:rsidRPr="00BA6634" w:rsidRDefault="006E4A05" w:rsidP="007949B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A6634">
        <w:rPr>
          <w:rFonts w:ascii="Calibri" w:hAnsi="Calibri" w:cs="Calibri"/>
          <w:color w:val="000000"/>
        </w:rPr>
        <w:t xml:space="preserve">The </w:t>
      </w:r>
      <w:r w:rsidR="007949B7" w:rsidRPr="00BA6634">
        <w:rPr>
          <w:rFonts w:ascii="Calibri" w:hAnsi="Calibri" w:cs="Calibri"/>
          <w:color w:val="000000"/>
        </w:rPr>
        <w:t xml:space="preserve">subjects </w:t>
      </w:r>
      <w:r w:rsidRPr="00BA6634">
        <w:rPr>
          <w:rFonts w:ascii="Calibri" w:hAnsi="Calibri" w:cs="Calibri"/>
          <w:color w:val="000000"/>
        </w:rPr>
        <w:t xml:space="preserve">and number of lessons per week are shown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73"/>
        <w:gridCol w:w="774"/>
        <w:gridCol w:w="773"/>
        <w:gridCol w:w="774"/>
        <w:gridCol w:w="773"/>
        <w:gridCol w:w="774"/>
        <w:gridCol w:w="774"/>
        <w:gridCol w:w="773"/>
        <w:gridCol w:w="774"/>
        <w:gridCol w:w="773"/>
        <w:gridCol w:w="774"/>
        <w:gridCol w:w="774"/>
        <w:gridCol w:w="773"/>
        <w:gridCol w:w="774"/>
        <w:gridCol w:w="773"/>
        <w:gridCol w:w="774"/>
        <w:gridCol w:w="774"/>
      </w:tblGrid>
      <w:tr w:rsidR="007949B7" w:rsidTr="00A03E00">
        <w:trPr>
          <w:cantSplit/>
          <w:trHeight w:val="1602"/>
        </w:trPr>
        <w:tc>
          <w:tcPr>
            <w:tcW w:w="736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773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EA63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English</w:t>
            </w:r>
            <w:r w:rsidR="00EA637E" w:rsidRPr="00EA637E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74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Maths</w:t>
            </w:r>
            <w:r w:rsidR="00C72506" w:rsidRPr="00C7250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3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774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C725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  <w:r w:rsidR="00C72506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73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774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774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MFL</w:t>
            </w:r>
          </w:p>
        </w:tc>
        <w:tc>
          <w:tcPr>
            <w:tcW w:w="773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774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D5D80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Statistics</w:t>
            </w:r>
          </w:p>
        </w:tc>
        <w:tc>
          <w:tcPr>
            <w:tcW w:w="773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774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Technology</w:t>
            </w:r>
          </w:p>
        </w:tc>
        <w:tc>
          <w:tcPr>
            <w:tcW w:w="774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773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Business</w:t>
            </w:r>
          </w:p>
        </w:tc>
        <w:tc>
          <w:tcPr>
            <w:tcW w:w="774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Drama</w:t>
            </w:r>
          </w:p>
        </w:tc>
        <w:tc>
          <w:tcPr>
            <w:tcW w:w="773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774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Citizenship</w:t>
            </w:r>
            <w:r w:rsidR="007D5D80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7D5D80">
              <w:rPr>
                <w:b/>
                <w:sz w:val="20"/>
                <w:szCs w:val="20"/>
              </w:rPr>
              <w:t>and RE</w:t>
            </w:r>
          </w:p>
        </w:tc>
        <w:tc>
          <w:tcPr>
            <w:tcW w:w="774" w:type="dxa"/>
            <w:shd w:val="clear" w:color="auto" w:fill="D9D9D9" w:themeFill="background1" w:themeFillShade="D9"/>
            <w:textDirection w:val="tbRl"/>
            <w:vAlign w:val="center"/>
          </w:tcPr>
          <w:p w:rsidR="007949B7" w:rsidRPr="00205415" w:rsidRDefault="007949B7" w:rsidP="005D41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415">
              <w:rPr>
                <w:b/>
                <w:sz w:val="20"/>
                <w:szCs w:val="20"/>
              </w:rPr>
              <w:t>PSHEE</w:t>
            </w:r>
          </w:p>
        </w:tc>
      </w:tr>
      <w:tr w:rsidR="007949B7" w:rsidTr="00A03E00">
        <w:tc>
          <w:tcPr>
            <w:tcW w:w="736" w:type="dxa"/>
            <w:shd w:val="clear" w:color="auto" w:fill="D9D9D9" w:themeFill="background1" w:themeFillShade="D9"/>
          </w:tcPr>
          <w:p w:rsidR="007949B7" w:rsidRPr="0033243D" w:rsidRDefault="007949B7" w:rsidP="00A03E00">
            <w:pPr>
              <w:jc w:val="center"/>
              <w:rPr>
                <w:b/>
              </w:rPr>
            </w:pPr>
            <w:r w:rsidRPr="0033243D">
              <w:rPr>
                <w:b/>
              </w:rPr>
              <w:t>7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4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3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</w:tr>
      <w:tr w:rsidR="007949B7" w:rsidTr="00A03E00">
        <w:tc>
          <w:tcPr>
            <w:tcW w:w="736" w:type="dxa"/>
            <w:shd w:val="clear" w:color="auto" w:fill="D9D9D9" w:themeFill="background1" w:themeFillShade="D9"/>
          </w:tcPr>
          <w:p w:rsidR="007949B7" w:rsidRPr="0033243D" w:rsidRDefault="007949B7" w:rsidP="00A03E00">
            <w:pPr>
              <w:jc w:val="center"/>
              <w:rPr>
                <w:b/>
              </w:rPr>
            </w:pPr>
            <w:r w:rsidRPr="0033243D">
              <w:rPr>
                <w:b/>
              </w:rPr>
              <w:t>8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4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3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9B7" w:rsidRDefault="007949B7" w:rsidP="00A03E00">
            <w:pPr>
              <w:jc w:val="center"/>
            </w:pPr>
            <w:r>
              <w:t>1</w:t>
            </w:r>
          </w:p>
        </w:tc>
      </w:tr>
    </w:tbl>
    <w:p w:rsidR="007949B7" w:rsidRDefault="007949B7" w:rsidP="007949B7">
      <w:pPr>
        <w:pStyle w:val="NoSpacing"/>
      </w:pPr>
    </w:p>
    <w:p w:rsidR="007949B7" w:rsidRDefault="00EA637E" w:rsidP="007949B7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EA637E">
        <w:rPr>
          <w:rFonts w:ascii="Calibri" w:hAnsi="Calibri" w:cs="Calibri"/>
          <w:color w:val="000000"/>
          <w:sz w:val="18"/>
          <w:szCs w:val="18"/>
          <w:vertAlign w:val="superscript"/>
        </w:rPr>
        <w:t>1</w:t>
      </w:r>
      <w:r w:rsidR="007949B7" w:rsidRPr="006E4A05">
        <w:rPr>
          <w:rFonts w:ascii="Calibri" w:hAnsi="Calibri" w:cs="Calibri"/>
          <w:color w:val="000000"/>
          <w:sz w:val="18"/>
          <w:szCs w:val="18"/>
        </w:rPr>
        <w:t>English is allocated the most curricul</w:t>
      </w:r>
      <w:r w:rsidR="00BA6634">
        <w:rPr>
          <w:rFonts w:ascii="Calibri" w:hAnsi="Calibri" w:cs="Calibri"/>
          <w:color w:val="000000"/>
          <w:sz w:val="18"/>
          <w:szCs w:val="18"/>
        </w:rPr>
        <w:t xml:space="preserve">um time </w:t>
      </w:r>
      <w:r w:rsidR="005D4147">
        <w:rPr>
          <w:rFonts w:ascii="Calibri" w:hAnsi="Calibri" w:cs="Calibri"/>
          <w:color w:val="000000"/>
          <w:sz w:val="18"/>
          <w:szCs w:val="18"/>
        </w:rPr>
        <w:t>to facilitate higher</w:t>
      </w:r>
      <w:r w:rsidR="007949B7" w:rsidRPr="006E4A05">
        <w:rPr>
          <w:rFonts w:ascii="Calibri" w:hAnsi="Calibri" w:cs="Calibri"/>
          <w:color w:val="000000"/>
          <w:sz w:val="18"/>
          <w:szCs w:val="18"/>
        </w:rPr>
        <w:t xml:space="preserve"> standards of literacy across all subjects. </w:t>
      </w:r>
    </w:p>
    <w:p w:rsidR="00C72506" w:rsidRPr="006E4A05" w:rsidRDefault="00C72506" w:rsidP="007949B7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vertAlign w:val="superscript"/>
        </w:rPr>
        <w:t>2</w:t>
      </w:r>
      <w:r>
        <w:rPr>
          <w:rFonts w:ascii="Calibri" w:hAnsi="Calibri" w:cs="Calibri"/>
          <w:color w:val="000000"/>
          <w:sz w:val="18"/>
          <w:szCs w:val="18"/>
        </w:rPr>
        <w:t>Maths</w:t>
      </w:r>
      <w:r w:rsidRPr="006E4A05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and Statistics combined are allocated the same amount of curriculum time as English to facilitate higher standards of numeracy</w:t>
      </w:r>
      <w:r w:rsidRPr="006E4A05">
        <w:rPr>
          <w:rFonts w:ascii="Calibri" w:hAnsi="Calibri" w:cs="Calibri"/>
          <w:color w:val="000000"/>
          <w:sz w:val="18"/>
          <w:szCs w:val="18"/>
        </w:rPr>
        <w:t xml:space="preserve"> across all subjects. </w:t>
      </w:r>
    </w:p>
    <w:p w:rsidR="007949B7" w:rsidRDefault="00C72506" w:rsidP="007949B7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vertAlign w:val="superscript"/>
        </w:rPr>
        <w:t>3</w:t>
      </w:r>
      <w:r w:rsidR="007949B7" w:rsidRPr="006E4A05">
        <w:rPr>
          <w:rFonts w:ascii="Calibri" w:hAnsi="Calibri" w:cs="Calibri"/>
          <w:color w:val="000000"/>
          <w:sz w:val="18"/>
          <w:szCs w:val="18"/>
        </w:rPr>
        <w:t xml:space="preserve">Outside of the core subjects, PE is allocated double the curriculum </w:t>
      </w:r>
      <w:r w:rsidR="00EA637E">
        <w:rPr>
          <w:rFonts w:ascii="Calibri" w:hAnsi="Calibri" w:cs="Calibri"/>
          <w:color w:val="000000"/>
          <w:sz w:val="18"/>
          <w:szCs w:val="18"/>
        </w:rPr>
        <w:t>to facilitate</w:t>
      </w:r>
      <w:r w:rsidR="007949B7" w:rsidRPr="006E4A05">
        <w:rPr>
          <w:rFonts w:ascii="Calibri" w:hAnsi="Calibri" w:cs="Calibri"/>
          <w:color w:val="000000"/>
          <w:sz w:val="18"/>
          <w:szCs w:val="18"/>
        </w:rPr>
        <w:t xml:space="preserve"> physical wellbeing. </w:t>
      </w:r>
    </w:p>
    <w:p w:rsidR="00EA637E" w:rsidRDefault="00EA637E" w:rsidP="00EA637E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Toc454448551"/>
      <w:r>
        <w:rPr>
          <w:rFonts w:asciiTheme="minorHAnsi" w:hAnsiTheme="minorHAnsi" w:cstheme="minorHAnsi"/>
          <w:color w:val="auto"/>
          <w:sz w:val="22"/>
          <w:szCs w:val="22"/>
        </w:rPr>
        <w:t>1.4 Key Stage 4</w:t>
      </w:r>
      <w:bookmarkEnd w:id="9"/>
    </w:p>
    <w:p w:rsidR="00EA637E" w:rsidRPr="00EA637E" w:rsidRDefault="00EA637E" w:rsidP="00EA637E">
      <w:pPr>
        <w:pStyle w:val="NoSpacing"/>
      </w:pPr>
    </w:p>
    <w:p w:rsidR="00EA637E" w:rsidRPr="00EA637E" w:rsidRDefault="00EA637E" w:rsidP="00EA63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="00F737B0">
        <w:rPr>
          <w:rFonts w:ascii="Calibri" w:hAnsi="Calibri" w:cs="Calibri"/>
          <w:color w:val="000000"/>
        </w:rPr>
        <w:t>Key Stage 4</w:t>
      </w:r>
      <w:r>
        <w:rPr>
          <w:rFonts w:ascii="Calibri" w:hAnsi="Calibri" w:cs="Calibri"/>
          <w:color w:val="000000"/>
        </w:rPr>
        <w:t xml:space="preserve"> curriculum </w:t>
      </w:r>
      <w:r w:rsidRPr="00BA6634">
        <w:rPr>
          <w:rFonts w:ascii="Calibri" w:hAnsi="Calibri" w:cs="Calibri"/>
          <w:color w:val="000000"/>
        </w:rPr>
        <w:t>is delivered in</w:t>
      </w:r>
      <w:r>
        <w:rPr>
          <w:rFonts w:ascii="Calibri" w:hAnsi="Calibri" w:cs="Calibri"/>
          <w:color w:val="000000"/>
        </w:rPr>
        <w:t xml:space="preserve"> Year 9, 10 and 11.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04"/>
        <w:gridCol w:w="1198"/>
        <w:gridCol w:w="1198"/>
        <w:gridCol w:w="1199"/>
        <w:gridCol w:w="1198"/>
        <w:gridCol w:w="1199"/>
        <w:gridCol w:w="1198"/>
        <w:gridCol w:w="1199"/>
        <w:gridCol w:w="1198"/>
        <w:gridCol w:w="1199"/>
        <w:gridCol w:w="1198"/>
        <w:gridCol w:w="1199"/>
      </w:tblGrid>
      <w:tr w:rsidR="00EA637E" w:rsidRPr="007B7734" w:rsidTr="00A03E00">
        <w:trPr>
          <w:cantSplit/>
          <w:trHeight w:val="1465"/>
        </w:trPr>
        <w:tc>
          <w:tcPr>
            <w:tcW w:w="704" w:type="dxa"/>
            <w:shd w:val="clear" w:color="auto" w:fill="D9D9D9" w:themeFill="background1" w:themeFillShade="D9"/>
            <w:textDirection w:val="tbRl"/>
            <w:vAlign w:val="center"/>
          </w:tcPr>
          <w:p w:rsidR="00EA637E" w:rsidRPr="00F028A2" w:rsidRDefault="00EA637E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8A2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tbRl"/>
            <w:vAlign w:val="center"/>
          </w:tcPr>
          <w:p w:rsidR="00EA637E" w:rsidRPr="00F028A2" w:rsidRDefault="00EA637E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8A2">
              <w:rPr>
                <w:b/>
                <w:sz w:val="20"/>
                <w:szCs w:val="20"/>
              </w:rPr>
              <w:t>English</w:t>
            </w:r>
            <w:r w:rsidR="001269CA" w:rsidRPr="001269CA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tbRl"/>
            <w:vAlign w:val="center"/>
          </w:tcPr>
          <w:p w:rsidR="00EA637E" w:rsidRPr="00F028A2" w:rsidRDefault="00EA637E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8A2">
              <w:rPr>
                <w:b/>
                <w:sz w:val="20"/>
                <w:szCs w:val="20"/>
              </w:rPr>
              <w:t>Maths</w:t>
            </w:r>
            <w:r w:rsidR="001269CA" w:rsidRPr="001269CA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99" w:type="dxa"/>
            <w:shd w:val="clear" w:color="auto" w:fill="D9D9D9" w:themeFill="background1" w:themeFillShade="D9"/>
            <w:textDirection w:val="tbRl"/>
            <w:vAlign w:val="center"/>
          </w:tcPr>
          <w:p w:rsidR="00EA637E" w:rsidRPr="00F028A2" w:rsidRDefault="00EA637E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8A2">
              <w:rPr>
                <w:b/>
                <w:sz w:val="20"/>
                <w:szCs w:val="20"/>
              </w:rPr>
              <w:t>Science</w:t>
            </w:r>
            <w:r w:rsidR="001269CA" w:rsidRPr="001269CA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tbRl"/>
            <w:vAlign w:val="center"/>
          </w:tcPr>
          <w:p w:rsidR="00EA637E" w:rsidRPr="00F028A2" w:rsidRDefault="007D5D80" w:rsidP="000B0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MFL</w:t>
            </w:r>
            <w:r w:rsidRPr="007D5D80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shd w:val="clear" w:color="auto" w:fill="D9D9D9" w:themeFill="background1" w:themeFillShade="D9"/>
            <w:textDirection w:val="tbRl"/>
            <w:vAlign w:val="center"/>
          </w:tcPr>
          <w:p w:rsidR="00EA637E" w:rsidRPr="00F028A2" w:rsidRDefault="007D5D80" w:rsidP="00272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1</w:t>
            </w:r>
            <w:r w:rsidR="0027274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tbRl"/>
            <w:vAlign w:val="center"/>
          </w:tcPr>
          <w:p w:rsidR="00EA637E" w:rsidRPr="00F028A2" w:rsidRDefault="007D5D80" w:rsidP="00272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2</w:t>
            </w:r>
            <w:r w:rsidR="0027274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dxa"/>
            <w:shd w:val="clear" w:color="auto" w:fill="D9D9D9" w:themeFill="background1" w:themeFillShade="D9"/>
            <w:textDirection w:val="tbRl"/>
            <w:vAlign w:val="center"/>
          </w:tcPr>
          <w:p w:rsidR="00EA637E" w:rsidRPr="00F028A2" w:rsidRDefault="007D5D80" w:rsidP="00272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3</w:t>
            </w:r>
            <w:r w:rsidR="0027274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tbRl"/>
            <w:vAlign w:val="center"/>
          </w:tcPr>
          <w:p w:rsidR="00EA637E" w:rsidRPr="00F028A2" w:rsidRDefault="00EA637E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Citizenship (including RE)</w:t>
            </w:r>
            <w:r w:rsidR="007D5D80"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99" w:type="dxa"/>
            <w:shd w:val="clear" w:color="auto" w:fill="D9D9D9" w:themeFill="background1" w:themeFillShade="D9"/>
            <w:textDirection w:val="tbRl"/>
            <w:vAlign w:val="center"/>
          </w:tcPr>
          <w:p w:rsidR="00EA637E" w:rsidRPr="00F028A2" w:rsidRDefault="00EA637E" w:rsidP="00A03E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8A2">
              <w:rPr>
                <w:b/>
                <w:sz w:val="20"/>
                <w:szCs w:val="20"/>
              </w:rPr>
              <w:t>Recreational PE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tbRl"/>
            <w:vAlign w:val="center"/>
          </w:tcPr>
          <w:p w:rsidR="00EA637E" w:rsidRPr="00F028A2" w:rsidRDefault="00EA637E" w:rsidP="00272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8A2">
              <w:rPr>
                <w:b/>
                <w:sz w:val="20"/>
                <w:szCs w:val="20"/>
              </w:rPr>
              <w:t>Life Skills</w:t>
            </w:r>
            <w:r w:rsidR="007D5D80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99" w:type="dxa"/>
            <w:shd w:val="clear" w:color="auto" w:fill="D9D9D9" w:themeFill="background1" w:themeFillShade="D9"/>
            <w:textDirection w:val="tbRl"/>
            <w:vAlign w:val="center"/>
          </w:tcPr>
          <w:p w:rsidR="00EA637E" w:rsidRPr="00F028A2" w:rsidRDefault="00EA637E" w:rsidP="00272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8A2">
              <w:rPr>
                <w:b/>
                <w:sz w:val="20"/>
                <w:szCs w:val="20"/>
              </w:rPr>
              <w:t>Pupil Development</w:t>
            </w:r>
            <w:r w:rsidR="007D5D80"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EA637E" w:rsidTr="00A03E00">
        <w:tc>
          <w:tcPr>
            <w:tcW w:w="704" w:type="dxa"/>
            <w:shd w:val="clear" w:color="auto" w:fill="D9D9D9" w:themeFill="background1" w:themeFillShade="D9"/>
          </w:tcPr>
          <w:p w:rsidR="00EA637E" w:rsidRPr="0033243D" w:rsidRDefault="00EA637E" w:rsidP="00A03E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>
              <w:t>4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EA637E" w:rsidRDefault="00EA637E" w:rsidP="00A03E00">
            <w:pPr>
              <w:jc w:val="center"/>
            </w:pPr>
            <w:r>
              <w:t>4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 w:rsidRPr="00E44BB9">
              <w:t>2</w:t>
            </w:r>
          </w:p>
        </w:tc>
        <w:tc>
          <w:tcPr>
            <w:tcW w:w="1199" w:type="dxa"/>
          </w:tcPr>
          <w:p w:rsidR="00EA637E" w:rsidRDefault="00EA637E" w:rsidP="00A03E00">
            <w:pPr>
              <w:jc w:val="center"/>
            </w:pPr>
            <w:r w:rsidRPr="00E44BB9">
              <w:t>2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 w:rsidRPr="00E44BB9">
              <w:t>2</w:t>
            </w:r>
          </w:p>
        </w:tc>
        <w:tc>
          <w:tcPr>
            <w:tcW w:w="1199" w:type="dxa"/>
          </w:tcPr>
          <w:p w:rsidR="00EA637E" w:rsidRDefault="00EA637E" w:rsidP="00A03E00">
            <w:pPr>
              <w:jc w:val="center"/>
            </w:pPr>
            <w:r w:rsidRPr="00E44BB9">
              <w:t>2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EA637E" w:rsidRPr="00E44BB9" w:rsidRDefault="00EA637E" w:rsidP="00A03E00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EA637E" w:rsidRPr="00E44BB9" w:rsidRDefault="00EA637E" w:rsidP="00A03E00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EA637E" w:rsidRPr="00E44BB9" w:rsidRDefault="00EA637E" w:rsidP="00A03E00">
            <w:pPr>
              <w:jc w:val="center"/>
            </w:pPr>
            <w:r>
              <w:t>1</w:t>
            </w:r>
          </w:p>
        </w:tc>
      </w:tr>
      <w:tr w:rsidR="00EA637E" w:rsidTr="00A03E00">
        <w:tc>
          <w:tcPr>
            <w:tcW w:w="704" w:type="dxa"/>
            <w:shd w:val="clear" w:color="auto" w:fill="D9D9D9" w:themeFill="background1" w:themeFillShade="D9"/>
          </w:tcPr>
          <w:p w:rsidR="00EA637E" w:rsidRPr="0033243D" w:rsidRDefault="00EA637E" w:rsidP="00A03E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>
              <w:t>4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EA637E" w:rsidRDefault="00EA637E" w:rsidP="00A03E00">
            <w:pPr>
              <w:jc w:val="center"/>
            </w:pPr>
            <w:r>
              <w:t>4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 w:rsidRPr="00E44BB9">
              <w:t>2</w:t>
            </w:r>
          </w:p>
        </w:tc>
        <w:tc>
          <w:tcPr>
            <w:tcW w:w="1199" w:type="dxa"/>
          </w:tcPr>
          <w:p w:rsidR="00EA637E" w:rsidRDefault="00EA637E" w:rsidP="00A03E00">
            <w:pPr>
              <w:jc w:val="center"/>
            </w:pPr>
            <w:r w:rsidRPr="00E44BB9">
              <w:t>2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 w:rsidRPr="00E44BB9">
              <w:t>2</w:t>
            </w:r>
          </w:p>
        </w:tc>
        <w:tc>
          <w:tcPr>
            <w:tcW w:w="1199" w:type="dxa"/>
          </w:tcPr>
          <w:p w:rsidR="00EA637E" w:rsidRDefault="00EA637E" w:rsidP="00A03E00">
            <w:pPr>
              <w:jc w:val="center"/>
            </w:pPr>
            <w:r w:rsidRPr="00E44BB9">
              <w:t>2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EA637E" w:rsidRPr="00E44BB9" w:rsidRDefault="00EA637E" w:rsidP="00A03E00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EA637E" w:rsidRPr="00E44BB9" w:rsidRDefault="00EA637E" w:rsidP="00A03E00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EA637E" w:rsidRPr="00E44BB9" w:rsidRDefault="00EA637E" w:rsidP="00A03E00">
            <w:pPr>
              <w:jc w:val="center"/>
            </w:pPr>
            <w:r>
              <w:t>1</w:t>
            </w:r>
          </w:p>
        </w:tc>
      </w:tr>
      <w:tr w:rsidR="00EA637E" w:rsidTr="00A03E00">
        <w:tc>
          <w:tcPr>
            <w:tcW w:w="704" w:type="dxa"/>
            <w:shd w:val="clear" w:color="auto" w:fill="D9D9D9" w:themeFill="background1" w:themeFillShade="D9"/>
          </w:tcPr>
          <w:p w:rsidR="00EA637E" w:rsidRDefault="00EA637E" w:rsidP="00A03E0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>
              <w:t>4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EA637E" w:rsidRDefault="00EA637E" w:rsidP="00A03E00">
            <w:pPr>
              <w:jc w:val="center"/>
            </w:pPr>
            <w:r>
              <w:t>4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 w:rsidRPr="00E44BB9">
              <w:t>2</w:t>
            </w:r>
          </w:p>
        </w:tc>
        <w:tc>
          <w:tcPr>
            <w:tcW w:w="1199" w:type="dxa"/>
          </w:tcPr>
          <w:p w:rsidR="00EA637E" w:rsidRDefault="00EA637E" w:rsidP="00A03E00">
            <w:pPr>
              <w:jc w:val="center"/>
            </w:pPr>
            <w:r w:rsidRPr="00E44BB9">
              <w:t>2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 w:rsidRPr="00E44BB9">
              <w:t>2</w:t>
            </w:r>
          </w:p>
        </w:tc>
        <w:tc>
          <w:tcPr>
            <w:tcW w:w="1199" w:type="dxa"/>
          </w:tcPr>
          <w:p w:rsidR="00EA637E" w:rsidRDefault="00EA637E" w:rsidP="00A03E00">
            <w:pPr>
              <w:jc w:val="center"/>
            </w:pPr>
            <w:r w:rsidRPr="00E44BB9">
              <w:t>2</w:t>
            </w:r>
          </w:p>
        </w:tc>
        <w:tc>
          <w:tcPr>
            <w:tcW w:w="1198" w:type="dxa"/>
          </w:tcPr>
          <w:p w:rsidR="00EA637E" w:rsidRDefault="00EA637E" w:rsidP="00A03E00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EA637E" w:rsidRPr="00E44BB9" w:rsidRDefault="00EA637E" w:rsidP="00A03E00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EA637E" w:rsidRPr="00E44BB9" w:rsidRDefault="00EA637E" w:rsidP="00A03E00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964606" w:rsidRPr="00E44BB9" w:rsidRDefault="00EA637E" w:rsidP="00964606">
            <w:pPr>
              <w:jc w:val="center"/>
            </w:pPr>
            <w:r>
              <w:t>1</w:t>
            </w:r>
          </w:p>
        </w:tc>
      </w:tr>
    </w:tbl>
    <w:p w:rsidR="00EA637E" w:rsidRDefault="001269CA" w:rsidP="00EA637E">
      <w:pPr>
        <w:rPr>
          <w:rFonts w:ascii="Calibri" w:hAnsi="Calibri" w:cs="Calibri"/>
          <w:color w:val="000000"/>
          <w:sz w:val="18"/>
          <w:szCs w:val="18"/>
        </w:rPr>
      </w:pPr>
      <w:r w:rsidRPr="00EA637E">
        <w:rPr>
          <w:rFonts w:ascii="Calibri" w:hAnsi="Calibri" w:cs="Calibri"/>
          <w:color w:val="000000"/>
          <w:sz w:val="18"/>
          <w:szCs w:val="18"/>
          <w:vertAlign w:val="superscript"/>
        </w:rPr>
        <w:lastRenderedPageBreak/>
        <w:t>1</w:t>
      </w:r>
      <w:r w:rsidRPr="001269CA">
        <w:rPr>
          <w:rFonts w:ascii="Calibri" w:hAnsi="Calibri" w:cs="Calibri"/>
          <w:color w:val="000000"/>
          <w:sz w:val="18"/>
          <w:szCs w:val="18"/>
        </w:rPr>
        <w:t xml:space="preserve">GCSE </w:t>
      </w:r>
      <w:r w:rsidRPr="006E4A05">
        <w:rPr>
          <w:rFonts w:ascii="Calibri" w:hAnsi="Calibri" w:cs="Calibri"/>
          <w:color w:val="000000"/>
          <w:sz w:val="18"/>
          <w:szCs w:val="18"/>
        </w:rPr>
        <w:t>English</w:t>
      </w:r>
      <w:r>
        <w:rPr>
          <w:rFonts w:ascii="Calibri" w:hAnsi="Calibri" w:cs="Calibri"/>
          <w:color w:val="000000"/>
          <w:sz w:val="18"/>
          <w:szCs w:val="18"/>
        </w:rPr>
        <w:t xml:space="preserve">, Mathematics and Science are compulsory and are allocated the </w:t>
      </w:r>
      <w:r w:rsidRPr="006E4A05">
        <w:rPr>
          <w:rFonts w:ascii="Calibri" w:hAnsi="Calibri" w:cs="Calibri"/>
          <w:color w:val="000000"/>
          <w:sz w:val="18"/>
          <w:szCs w:val="18"/>
        </w:rPr>
        <w:t>most curricul</w:t>
      </w:r>
      <w:r>
        <w:rPr>
          <w:rFonts w:ascii="Calibri" w:hAnsi="Calibri" w:cs="Calibri"/>
          <w:color w:val="000000"/>
          <w:sz w:val="18"/>
          <w:szCs w:val="18"/>
        </w:rPr>
        <w:t>um time.</w:t>
      </w:r>
    </w:p>
    <w:p w:rsidR="007D5D80" w:rsidRDefault="001269CA" w:rsidP="00EA637E">
      <w:r>
        <w:rPr>
          <w:rFonts w:ascii="Calibri" w:hAnsi="Calibri" w:cs="Calibri"/>
          <w:color w:val="000000"/>
          <w:sz w:val="18"/>
          <w:szCs w:val="18"/>
          <w:vertAlign w:val="superscript"/>
        </w:rPr>
        <w:t>2</w:t>
      </w:r>
      <w:r w:rsidR="007D5D80">
        <w:rPr>
          <w:rFonts w:ascii="Calibri" w:hAnsi="Calibri" w:cs="Calibri"/>
          <w:color w:val="000000"/>
          <w:sz w:val="18"/>
          <w:szCs w:val="18"/>
        </w:rPr>
        <w:t xml:space="preserve">MFL is compulsory, however, </w:t>
      </w:r>
      <w:r w:rsidR="007D5D80">
        <w:rPr>
          <w:sz w:val="18"/>
          <w:szCs w:val="18"/>
        </w:rPr>
        <w:t xml:space="preserve">between 5-10% of </w:t>
      </w:r>
      <w:r w:rsidR="007D5D80" w:rsidRPr="00690096">
        <w:rPr>
          <w:sz w:val="18"/>
          <w:szCs w:val="18"/>
        </w:rPr>
        <w:t xml:space="preserve">pupils </w:t>
      </w:r>
      <w:r w:rsidR="007F2709">
        <w:rPr>
          <w:sz w:val="18"/>
          <w:szCs w:val="18"/>
        </w:rPr>
        <w:t xml:space="preserve">may </w:t>
      </w:r>
      <w:r w:rsidR="007D5D80" w:rsidRPr="00690096">
        <w:rPr>
          <w:sz w:val="18"/>
          <w:szCs w:val="18"/>
        </w:rPr>
        <w:t xml:space="preserve">have modified timetables which include additional English and Mathematics and/or </w:t>
      </w:r>
      <w:r w:rsidR="007D5D80">
        <w:rPr>
          <w:sz w:val="18"/>
          <w:szCs w:val="18"/>
        </w:rPr>
        <w:t>work skills courses/</w:t>
      </w:r>
      <w:r w:rsidR="00F737B0">
        <w:rPr>
          <w:sz w:val="18"/>
          <w:szCs w:val="18"/>
        </w:rPr>
        <w:t>work experience placements.</w:t>
      </w:r>
    </w:p>
    <w:p w:rsidR="001269CA" w:rsidRDefault="0027274E" w:rsidP="001269CA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vertAlign w:val="superscript"/>
        </w:rPr>
        <w:t>3</w:t>
      </w:r>
      <w:r w:rsidR="001269CA" w:rsidRPr="001269CA">
        <w:rPr>
          <w:rFonts w:ascii="Calibri" w:hAnsi="Calibri" w:cs="Calibri"/>
          <w:color w:val="000000"/>
          <w:sz w:val="18"/>
          <w:szCs w:val="18"/>
        </w:rPr>
        <w:t xml:space="preserve">Pupils opt </w:t>
      </w:r>
      <w:r w:rsidR="007D5D80">
        <w:rPr>
          <w:rFonts w:ascii="Calibri" w:hAnsi="Calibri" w:cs="Calibri"/>
          <w:color w:val="000000"/>
          <w:sz w:val="18"/>
          <w:szCs w:val="18"/>
        </w:rPr>
        <w:t>for three</w:t>
      </w:r>
      <w:r w:rsidR="001269CA">
        <w:rPr>
          <w:rFonts w:ascii="Calibri" w:hAnsi="Calibri" w:cs="Calibri"/>
          <w:color w:val="000000"/>
          <w:sz w:val="18"/>
          <w:szCs w:val="18"/>
        </w:rPr>
        <w:t xml:space="preserve"> additional subjects – refer </w:t>
      </w:r>
      <w:r>
        <w:rPr>
          <w:rFonts w:ascii="Calibri" w:hAnsi="Calibri" w:cs="Calibri"/>
          <w:color w:val="000000"/>
          <w:sz w:val="18"/>
          <w:szCs w:val="18"/>
        </w:rPr>
        <w:t>to section 1.41.</w:t>
      </w:r>
    </w:p>
    <w:p w:rsidR="007D5D80" w:rsidRDefault="007D5D80" w:rsidP="001269CA">
      <w:pPr>
        <w:rPr>
          <w:rFonts w:ascii="Calibri" w:hAnsi="Calibri" w:cs="Calibri"/>
          <w:color w:val="000000"/>
          <w:sz w:val="18"/>
          <w:szCs w:val="18"/>
        </w:rPr>
      </w:pPr>
      <w:r w:rsidRPr="007F2709">
        <w:rPr>
          <w:sz w:val="18"/>
          <w:szCs w:val="18"/>
          <w:vertAlign w:val="superscript"/>
        </w:rPr>
        <w:t>4</w:t>
      </w:r>
      <w:r w:rsidRPr="007D5D80">
        <w:rPr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 xml:space="preserve">CSE Citizenship is compulsory and is the primary means of promoting SMSC and British Values. It is taught alongside the statutory provisions of RE </w:t>
      </w:r>
      <w:r w:rsidRPr="0027274E">
        <w:rPr>
          <w:rFonts w:ascii="Calibri" w:hAnsi="Calibri" w:cs="Calibri"/>
          <w:color w:val="000000"/>
          <w:sz w:val="18"/>
          <w:szCs w:val="18"/>
        </w:rPr>
        <w:t>so the Academy is compliant in terms of sections 69 and 71 and schedule 19 of the School St</w:t>
      </w:r>
      <w:r>
        <w:rPr>
          <w:rFonts w:ascii="Calibri" w:hAnsi="Calibri" w:cs="Calibri"/>
          <w:color w:val="000000"/>
          <w:sz w:val="18"/>
          <w:szCs w:val="18"/>
        </w:rPr>
        <w:t xml:space="preserve">andards and Framework Act 1998. </w:t>
      </w:r>
    </w:p>
    <w:p w:rsidR="0027274E" w:rsidRDefault="007D5D80" w:rsidP="001269CA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vertAlign w:val="superscript"/>
        </w:rPr>
        <w:t>5</w:t>
      </w:r>
      <w:r w:rsidR="0027274E">
        <w:rPr>
          <w:rFonts w:ascii="Calibri" w:hAnsi="Calibri" w:cs="Calibri"/>
          <w:color w:val="000000"/>
          <w:sz w:val="18"/>
          <w:szCs w:val="18"/>
        </w:rPr>
        <w:t>Life Skills – refer to section 1.42.</w:t>
      </w:r>
    </w:p>
    <w:p w:rsidR="0027274E" w:rsidRDefault="007D5D80" w:rsidP="001269CA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vertAlign w:val="superscript"/>
        </w:rPr>
        <w:t>6</w:t>
      </w:r>
      <w:r w:rsidR="0027274E">
        <w:rPr>
          <w:rFonts w:ascii="Calibri" w:hAnsi="Calibri" w:cs="Calibri"/>
          <w:color w:val="000000"/>
          <w:sz w:val="18"/>
          <w:szCs w:val="18"/>
        </w:rPr>
        <w:t>Pupil Development – refer to section 1.43.</w:t>
      </w:r>
    </w:p>
    <w:p w:rsidR="0027274E" w:rsidRPr="0027274E" w:rsidRDefault="0027274E" w:rsidP="0027274E">
      <w:pPr>
        <w:pStyle w:val="Heading3"/>
        <w:rPr>
          <w:rFonts w:asciiTheme="minorHAnsi" w:hAnsiTheme="minorHAnsi"/>
          <w:color w:val="auto"/>
          <w:sz w:val="20"/>
          <w:szCs w:val="20"/>
        </w:rPr>
      </w:pPr>
      <w:bookmarkStart w:id="10" w:name="_Toc454448552"/>
      <w:r w:rsidRPr="0027274E">
        <w:rPr>
          <w:rFonts w:asciiTheme="minorHAnsi" w:hAnsiTheme="minorHAnsi"/>
          <w:color w:val="auto"/>
          <w:sz w:val="20"/>
          <w:szCs w:val="20"/>
        </w:rPr>
        <w:t>1.4</w:t>
      </w:r>
      <w:r>
        <w:rPr>
          <w:rFonts w:asciiTheme="minorHAnsi" w:hAnsiTheme="minorHAnsi"/>
          <w:color w:val="auto"/>
          <w:sz w:val="20"/>
          <w:szCs w:val="20"/>
        </w:rPr>
        <w:t>1</w:t>
      </w:r>
      <w:r w:rsidR="0031483A">
        <w:rPr>
          <w:rFonts w:asciiTheme="minorHAnsi" w:hAnsiTheme="minorHAnsi"/>
          <w:color w:val="auto"/>
          <w:sz w:val="20"/>
          <w:szCs w:val="20"/>
        </w:rPr>
        <w:t xml:space="preserve"> Option Subjects</w:t>
      </w:r>
      <w:bookmarkEnd w:id="10"/>
    </w:p>
    <w:p w:rsidR="001269CA" w:rsidRDefault="001269CA" w:rsidP="00DE4605">
      <w:pPr>
        <w:pStyle w:val="NoSpacing"/>
      </w:pPr>
    </w:p>
    <w:p w:rsidR="00DE4605" w:rsidRDefault="00DE4605" w:rsidP="00DE4605">
      <w:pPr>
        <w:pStyle w:val="NoSpacing"/>
      </w:pPr>
      <w:r>
        <w:t>All pupils are expected to follow four subjects which</w:t>
      </w:r>
      <w:r w:rsidR="007D5D80">
        <w:t xml:space="preserve"> constitute the Personalised P</w:t>
      </w:r>
      <w:r>
        <w:t>athway of their curriculum entitlement.</w:t>
      </w:r>
    </w:p>
    <w:p w:rsidR="00DE4605" w:rsidRDefault="00DE4605" w:rsidP="00DE4605">
      <w:pPr>
        <w:pStyle w:val="NoSpacing"/>
      </w:pPr>
    </w:p>
    <w:p w:rsidR="00DE4605" w:rsidRDefault="00DE4605" w:rsidP="00DE4605">
      <w:pPr>
        <w:pStyle w:val="NoSpacing"/>
      </w:pPr>
      <w:r>
        <w:t>The</w:t>
      </w:r>
      <w:r w:rsidR="007D5D80">
        <w:t xml:space="preserve"> subjects are arranged into three</w:t>
      </w:r>
      <w:r>
        <w:t xml:space="preserve"> blocks which</w:t>
      </w:r>
      <w:r w:rsidR="007D5D80">
        <w:t>, along with the Core Pathway,</w:t>
      </w:r>
      <w:r>
        <w:t xml:space="preserve"> cover the four statutory entitlement areas outli</w:t>
      </w:r>
      <w:r w:rsidR="007D5D80">
        <w:t>ned in the National Curriculum.</w:t>
      </w:r>
    </w:p>
    <w:p w:rsidR="00DE4605" w:rsidRPr="00DE4605" w:rsidRDefault="00DE4605" w:rsidP="00DE4605">
      <w:pPr>
        <w:pStyle w:val="NoSpacing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D5D80" w:rsidTr="007D5D8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D5D80" w:rsidRPr="006E52F1" w:rsidRDefault="007D5D80" w:rsidP="00C55C7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Block 1</w:t>
            </w:r>
          </w:p>
          <w:p w:rsidR="007D5D80" w:rsidRPr="006E52F1" w:rsidRDefault="007D5D80" w:rsidP="00C55C7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Humanities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80" w:rsidRPr="006E52F1" w:rsidRDefault="007D5D80" w:rsidP="00C55C7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Block 2</w:t>
            </w:r>
          </w:p>
          <w:p w:rsidR="007D5D80" w:rsidRPr="006E52F1" w:rsidRDefault="007D5D80" w:rsidP="00C55C73">
            <w:pPr>
              <w:jc w:val="center"/>
              <w:rPr>
                <w:rFonts w:ascii="Calibri" w:hAnsi="Calibri" w:cs="Calibri"/>
                <w:b/>
              </w:rPr>
            </w:pPr>
            <w:r w:rsidRPr="006E52F1">
              <w:rPr>
                <w:rFonts w:ascii="Calibri" w:hAnsi="Calibri" w:cs="Calibri"/>
                <w:b/>
              </w:rPr>
              <w:t>Design and Technology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80" w:rsidRPr="006E52F1" w:rsidRDefault="007D5D80" w:rsidP="00C55C7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Block 3</w:t>
            </w:r>
          </w:p>
          <w:p w:rsidR="007D5D80" w:rsidRPr="006E52F1" w:rsidRDefault="007D5D80" w:rsidP="00C55C73">
            <w:pPr>
              <w:jc w:val="center"/>
              <w:rPr>
                <w:rFonts w:ascii="Calibri" w:hAnsi="Calibri" w:cs="Calibri"/>
                <w:b/>
              </w:rPr>
            </w:pPr>
            <w:r w:rsidRPr="006E52F1">
              <w:rPr>
                <w:rFonts w:ascii="Calibri" w:hAnsi="Calibri" w:cs="Calibri"/>
                <w:b/>
              </w:rPr>
              <w:t>Arts</w:t>
            </w:r>
          </w:p>
        </w:tc>
      </w:tr>
      <w:tr w:rsidR="007D5D80" w:rsidTr="007D5D8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  <w:r>
              <w:t>Geography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  <w:r>
              <w:t>Graphic Products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Art </w:t>
            </w:r>
          </w:p>
        </w:tc>
      </w:tr>
      <w:tr w:rsidR="007D5D80" w:rsidTr="007D5D8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  <w:r>
              <w:t>History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Food Preparation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  <w:r>
              <w:t>Drama</w:t>
            </w:r>
          </w:p>
        </w:tc>
      </w:tr>
      <w:tr w:rsidR="007D5D80" w:rsidTr="007D5D8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  <w:r>
              <w:t>Business Studies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  <w:r>
              <w:t>Music</w:t>
            </w:r>
          </w:p>
        </w:tc>
      </w:tr>
      <w:tr w:rsidR="007D5D80" w:rsidTr="007D5D8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  <w:r>
              <w:t>ICT</w:t>
            </w:r>
            <w:r w:rsidR="00F737B0">
              <w:t xml:space="preserve"> (Technical Award)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  <w:r>
              <w:t>P.E</w:t>
            </w:r>
          </w:p>
        </w:tc>
      </w:tr>
      <w:tr w:rsidR="007D5D80" w:rsidTr="007D5D8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80" w:rsidRDefault="007D5D80" w:rsidP="00C55C73">
            <w:pPr>
              <w:pStyle w:val="NoSpacing"/>
              <w:jc w:val="center"/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80" w:rsidRDefault="007D5D80" w:rsidP="00C55C73">
            <w:pPr>
              <w:pStyle w:val="NoSpacing"/>
              <w:jc w:val="center"/>
            </w:pPr>
            <w:r>
              <w:t>Statistics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80" w:rsidRDefault="007D5D80" w:rsidP="00C55C73">
            <w:pPr>
              <w:pStyle w:val="NoSpacing"/>
              <w:jc w:val="center"/>
              <w:rPr>
                <w:rFonts w:cs="Calibri"/>
              </w:rPr>
            </w:pPr>
            <w:r>
              <w:t>R.E</w:t>
            </w:r>
          </w:p>
        </w:tc>
      </w:tr>
      <w:tr w:rsidR="007D5D80" w:rsidTr="007D5D8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80" w:rsidRDefault="007D5D80" w:rsidP="00C55C73">
            <w:pPr>
              <w:pStyle w:val="NoSpacing"/>
              <w:jc w:val="center"/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80" w:rsidRDefault="007D5D80" w:rsidP="00C55C73">
            <w:pPr>
              <w:pStyle w:val="NoSpacing"/>
              <w:jc w:val="center"/>
            </w:pP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80" w:rsidRDefault="007D5D80" w:rsidP="00C55C73">
            <w:pPr>
              <w:pStyle w:val="NoSpacing"/>
              <w:jc w:val="center"/>
            </w:pPr>
            <w:r>
              <w:t>Sociology</w:t>
            </w:r>
          </w:p>
        </w:tc>
      </w:tr>
      <w:tr w:rsidR="007D5D80" w:rsidTr="007D5D8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80" w:rsidRDefault="007D5D80" w:rsidP="00C55C73">
            <w:pPr>
              <w:pStyle w:val="NoSpacing"/>
              <w:jc w:val="center"/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80" w:rsidRDefault="007D5D80" w:rsidP="00C55C73">
            <w:pPr>
              <w:pStyle w:val="NoSpacing"/>
              <w:jc w:val="center"/>
            </w:pP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80" w:rsidRDefault="007D5D80" w:rsidP="00C55C73">
            <w:pPr>
              <w:pStyle w:val="NoSpacing"/>
              <w:jc w:val="center"/>
            </w:pPr>
            <w:r>
              <w:t>Statistics</w:t>
            </w:r>
          </w:p>
        </w:tc>
      </w:tr>
    </w:tbl>
    <w:p w:rsidR="00DE4605" w:rsidRDefault="00DE4605" w:rsidP="00DE4605">
      <w:pPr>
        <w:pStyle w:val="NoSpacing"/>
      </w:pPr>
    </w:p>
    <w:p w:rsidR="00DE4605" w:rsidRDefault="00DE4605" w:rsidP="00F77538">
      <w:pPr>
        <w:pStyle w:val="NoSpacing"/>
      </w:pPr>
      <w:r>
        <w:t xml:space="preserve">All subjects, with the exception of ICT, are high value GCSEs. </w:t>
      </w:r>
    </w:p>
    <w:p w:rsidR="00F77538" w:rsidRDefault="00F77538" w:rsidP="00F77538">
      <w:pPr>
        <w:pStyle w:val="NoSpacing"/>
      </w:pPr>
    </w:p>
    <w:p w:rsidR="0031483A" w:rsidRPr="0027274E" w:rsidRDefault="0031483A" w:rsidP="0031483A">
      <w:pPr>
        <w:pStyle w:val="Heading3"/>
        <w:rPr>
          <w:rFonts w:asciiTheme="minorHAnsi" w:hAnsiTheme="minorHAnsi"/>
          <w:color w:val="auto"/>
          <w:sz w:val="20"/>
          <w:szCs w:val="20"/>
        </w:rPr>
      </w:pPr>
      <w:bookmarkStart w:id="11" w:name="_Toc454448553"/>
      <w:r>
        <w:rPr>
          <w:rFonts w:asciiTheme="minorHAnsi" w:hAnsiTheme="minorHAnsi"/>
          <w:color w:val="auto"/>
          <w:sz w:val="20"/>
          <w:szCs w:val="20"/>
        </w:rPr>
        <w:lastRenderedPageBreak/>
        <w:t>1.42 Life Skills</w:t>
      </w:r>
      <w:bookmarkEnd w:id="11"/>
    </w:p>
    <w:p w:rsidR="00DE4605" w:rsidRDefault="00DE4605" w:rsidP="0031483A">
      <w:pPr>
        <w:pStyle w:val="NoSpacing"/>
      </w:pPr>
    </w:p>
    <w:p w:rsidR="00AE44DE" w:rsidRPr="00F77538" w:rsidRDefault="0031483A" w:rsidP="00F77538">
      <w:pPr>
        <w:pStyle w:val="NoSpacing"/>
        <w:rPr>
          <w:rFonts w:cstheme="minorHAnsi"/>
        </w:rPr>
      </w:pPr>
      <w:r w:rsidRPr="00F77538">
        <w:t xml:space="preserve">The Life Skills Programme is designed </w:t>
      </w:r>
      <w:r w:rsidR="00AE44DE" w:rsidRPr="00F77538">
        <w:t xml:space="preserve">to provide </w:t>
      </w:r>
      <w:r w:rsidRPr="00F77538">
        <w:t>pupils with a range competencies</w:t>
      </w:r>
      <w:r w:rsidR="00AE44DE" w:rsidRPr="00F77538">
        <w:t xml:space="preserve"> that help prepare them </w:t>
      </w:r>
      <w:r w:rsidR="00AE44DE" w:rsidRPr="00F77538">
        <w:rPr>
          <w:rFonts w:cstheme="minorHAnsi"/>
        </w:rPr>
        <w:t xml:space="preserve">for the next stage in their education, training, or employment. </w:t>
      </w:r>
    </w:p>
    <w:p w:rsidR="00AE44DE" w:rsidRDefault="00AE44DE" w:rsidP="00AE44D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535"/>
      </w:tblGrid>
      <w:tr w:rsidR="00AE44DE" w:rsidTr="00AE44DE">
        <w:tc>
          <w:tcPr>
            <w:tcW w:w="1413" w:type="dxa"/>
            <w:shd w:val="clear" w:color="auto" w:fill="F2F2F2" w:themeFill="background1" w:themeFillShade="F2"/>
          </w:tcPr>
          <w:p w:rsidR="00AE44DE" w:rsidRPr="00AE44DE" w:rsidRDefault="00AE44DE" w:rsidP="00AE44DE">
            <w:pPr>
              <w:jc w:val="center"/>
              <w:rPr>
                <w:rFonts w:cstheme="minorHAnsi"/>
                <w:b/>
              </w:rPr>
            </w:pPr>
            <w:r w:rsidRPr="00AE44DE">
              <w:rPr>
                <w:rFonts w:cstheme="minorHAnsi"/>
                <w:b/>
              </w:rPr>
              <w:t>Year</w:t>
            </w:r>
          </w:p>
        </w:tc>
        <w:tc>
          <w:tcPr>
            <w:tcW w:w="12535" w:type="dxa"/>
            <w:shd w:val="clear" w:color="auto" w:fill="F2F2F2" w:themeFill="background1" w:themeFillShade="F2"/>
          </w:tcPr>
          <w:p w:rsidR="00AE44DE" w:rsidRPr="00AE44DE" w:rsidRDefault="00AE44DE" w:rsidP="00AE44DE">
            <w:pPr>
              <w:jc w:val="center"/>
              <w:rPr>
                <w:rFonts w:cstheme="minorHAnsi"/>
                <w:b/>
              </w:rPr>
            </w:pPr>
            <w:r w:rsidRPr="00AE44DE">
              <w:rPr>
                <w:rFonts w:cstheme="minorHAnsi"/>
                <w:b/>
              </w:rPr>
              <w:t>Life Skills Programme</w:t>
            </w:r>
          </w:p>
        </w:tc>
      </w:tr>
      <w:tr w:rsidR="00AE44DE" w:rsidTr="00AE44DE">
        <w:tc>
          <w:tcPr>
            <w:tcW w:w="1413" w:type="dxa"/>
          </w:tcPr>
          <w:p w:rsidR="00AE44DE" w:rsidRDefault="00AE44DE" w:rsidP="00AE44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535" w:type="dxa"/>
          </w:tcPr>
          <w:p w:rsidR="00AE44DE" w:rsidRDefault="000B07FF" w:rsidP="00AE44DE">
            <w:pPr>
              <w:rPr>
                <w:rFonts w:cstheme="minorHAnsi"/>
              </w:rPr>
            </w:pPr>
            <w:r>
              <w:rPr>
                <w:rFonts w:cstheme="minorHAnsi"/>
              </w:rPr>
              <w:t>E-Safety (B</w:t>
            </w:r>
            <w:r w:rsidR="00AE44DE">
              <w:rPr>
                <w:rFonts w:cstheme="minorHAnsi"/>
              </w:rPr>
              <w:t>C</w:t>
            </w:r>
            <w:r>
              <w:rPr>
                <w:rFonts w:cstheme="minorHAnsi"/>
              </w:rPr>
              <w:t>S</w:t>
            </w:r>
            <w:r w:rsidR="00AE44DE">
              <w:rPr>
                <w:rFonts w:cstheme="minorHAnsi"/>
              </w:rPr>
              <w:t xml:space="preserve"> Level 1 accredited course) and Finance Skills.</w:t>
            </w:r>
          </w:p>
        </w:tc>
      </w:tr>
      <w:tr w:rsidR="00AE44DE" w:rsidTr="00AE44DE">
        <w:tc>
          <w:tcPr>
            <w:tcW w:w="1413" w:type="dxa"/>
          </w:tcPr>
          <w:p w:rsidR="00AE44DE" w:rsidRDefault="00AE44DE" w:rsidP="00AE44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535" w:type="dxa"/>
          </w:tcPr>
          <w:p w:rsidR="00AE44DE" w:rsidRDefault="007F2709" w:rsidP="002E2B37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Literacy</w:t>
            </w:r>
            <w:r w:rsidR="00C9427A">
              <w:rPr>
                <w:rFonts w:cstheme="minorHAnsi"/>
              </w:rPr>
              <w:t xml:space="preserve">, Preparation for Working Life and Study Skills. </w:t>
            </w:r>
            <w:bookmarkStart w:id="12" w:name="_GoBack"/>
            <w:bookmarkEnd w:id="12"/>
          </w:p>
        </w:tc>
      </w:tr>
      <w:tr w:rsidR="00AE44DE" w:rsidTr="00AE44DE">
        <w:tc>
          <w:tcPr>
            <w:tcW w:w="1413" w:type="dxa"/>
          </w:tcPr>
          <w:p w:rsidR="00AE44DE" w:rsidRDefault="00AE44DE" w:rsidP="00AE44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535" w:type="dxa"/>
          </w:tcPr>
          <w:p w:rsidR="00AE44DE" w:rsidRDefault="00C9427A" w:rsidP="002E2B37">
            <w:pPr>
              <w:rPr>
                <w:rFonts w:cstheme="minorHAnsi"/>
              </w:rPr>
            </w:pPr>
            <w:r>
              <w:rPr>
                <w:rFonts w:cstheme="minorHAnsi"/>
              </w:rPr>
              <w:t>Intervention and CIAG</w:t>
            </w:r>
          </w:p>
        </w:tc>
      </w:tr>
    </w:tbl>
    <w:p w:rsidR="00AE44DE" w:rsidRPr="00AE44DE" w:rsidRDefault="00AE44DE" w:rsidP="00AE44DE">
      <w:pPr>
        <w:spacing w:after="0" w:line="240" w:lineRule="auto"/>
        <w:rPr>
          <w:rFonts w:cstheme="minorHAnsi"/>
        </w:rPr>
      </w:pPr>
    </w:p>
    <w:p w:rsidR="00AE44DE" w:rsidRDefault="00AE44DE" w:rsidP="00AE44DE">
      <w:pPr>
        <w:pStyle w:val="Heading3"/>
        <w:rPr>
          <w:rFonts w:asciiTheme="minorHAnsi" w:hAnsiTheme="minorHAnsi"/>
          <w:color w:val="auto"/>
          <w:sz w:val="20"/>
          <w:szCs w:val="20"/>
        </w:rPr>
      </w:pPr>
      <w:bookmarkStart w:id="13" w:name="_Toc454448554"/>
      <w:r>
        <w:rPr>
          <w:rFonts w:asciiTheme="minorHAnsi" w:hAnsiTheme="minorHAnsi"/>
          <w:color w:val="auto"/>
          <w:sz w:val="20"/>
          <w:szCs w:val="20"/>
        </w:rPr>
        <w:t>1.43 Personal Development</w:t>
      </w:r>
      <w:bookmarkEnd w:id="13"/>
    </w:p>
    <w:p w:rsidR="00AE44DE" w:rsidRPr="00AE44DE" w:rsidRDefault="00AE44DE" w:rsidP="00AE44DE">
      <w:pPr>
        <w:pStyle w:val="NoSpacing"/>
      </w:pPr>
    </w:p>
    <w:p w:rsidR="00AE44DE" w:rsidRDefault="00AE44DE" w:rsidP="00F77538">
      <w:pPr>
        <w:pStyle w:val="NoSpacing"/>
      </w:pPr>
      <w:r w:rsidRPr="00F77538">
        <w:t xml:space="preserve">The Personal Development Programme is designed to provide pupils with ongoing PSHEE education </w:t>
      </w:r>
      <w:r w:rsidR="00F77538" w:rsidRPr="00F77538">
        <w:t xml:space="preserve">and substantive opportunities </w:t>
      </w:r>
      <w:r w:rsidR="00F77538">
        <w:t xml:space="preserve">to experience and develop </w:t>
      </w:r>
      <w:r w:rsidR="00F77538" w:rsidRPr="00F77538">
        <w:t xml:space="preserve">leadership skills to consolidate and further develop the competencies </w:t>
      </w:r>
      <w:r w:rsidR="00690096">
        <w:t xml:space="preserve">gained </w:t>
      </w:r>
      <w:r w:rsidR="00F77538" w:rsidRPr="00F77538">
        <w:t xml:space="preserve">in Life Skills. </w:t>
      </w:r>
    </w:p>
    <w:p w:rsidR="00F77538" w:rsidRPr="00F77538" w:rsidRDefault="00F77538" w:rsidP="00F775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535"/>
      </w:tblGrid>
      <w:tr w:rsidR="00F77538" w:rsidTr="00A03E00">
        <w:tc>
          <w:tcPr>
            <w:tcW w:w="1413" w:type="dxa"/>
            <w:shd w:val="clear" w:color="auto" w:fill="F2F2F2" w:themeFill="background1" w:themeFillShade="F2"/>
          </w:tcPr>
          <w:p w:rsidR="00F77538" w:rsidRPr="00AE44DE" w:rsidRDefault="00F77538" w:rsidP="00A03E00">
            <w:pPr>
              <w:jc w:val="center"/>
              <w:rPr>
                <w:rFonts w:cstheme="minorHAnsi"/>
                <w:b/>
              </w:rPr>
            </w:pPr>
            <w:r w:rsidRPr="00AE44DE">
              <w:rPr>
                <w:rFonts w:cstheme="minorHAnsi"/>
                <w:b/>
              </w:rPr>
              <w:t>Year</w:t>
            </w:r>
          </w:p>
        </w:tc>
        <w:tc>
          <w:tcPr>
            <w:tcW w:w="12535" w:type="dxa"/>
            <w:shd w:val="clear" w:color="auto" w:fill="F2F2F2" w:themeFill="background1" w:themeFillShade="F2"/>
          </w:tcPr>
          <w:p w:rsidR="00F77538" w:rsidRPr="00AE44DE" w:rsidRDefault="00F77538" w:rsidP="00A03E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Personal Development </w:t>
            </w:r>
            <w:r w:rsidRPr="00AE44DE">
              <w:rPr>
                <w:rFonts w:cstheme="minorHAnsi"/>
                <w:b/>
              </w:rPr>
              <w:t>Programme</w:t>
            </w:r>
          </w:p>
        </w:tc>
      </w:tr>
      <w:tr w:rsidR="00F77538" w:rsidTr="00A03E00">
        <w:tc>
          <w:tcPr>
            <w:tcW w:w="1413" w:type="dxa"/>
          </w:tcPr>
          <w:p w:rsidR="00F77538" w:rsidRDefault="00F77538" w:rsidP="00A03E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535" w:type="dxa"/>
          </w:tcPr>
          <w:p w:rsidR="00F77538" w:rsidRDefault="00F77538" w:rsidP="00A03E00">
            <w:pPr>
              <w:rPr>
                <w:rFonts w:cstheme="minorHAnsi"/>
              </w:rPr>
            </w:pPr>
            <w:r>
              <w:rPr>
                <w:rFonts w:cstheme="minorHAnsi"/>
              </w:rPr>
              <w:t>PSHEE, Arts Award, Sports Leader Award.</w:t>
            </w:r>
          </w:p>
        </w:tc>
      </w:tr>
      <w:tr w:rsidR="00F77538" w:rsidTr="00A03E00">
        <w:tc>
          <w:tcPr>
            <w:tcW w:w="1413" w:type="dxa"/>
          </w:tcPr>
          <w:p w:rsidR="00F77538" w:rsidRDefault="00F77538" w:rsidP="00A03E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535" w:type="dxa"/>
          </w:tcPr>
          <w:p w:rsidR="00F77538" w:rsidRDefault="00F77538" w:rsidP="00A03E00">
            <w:pPr>
              <w:rPr>
                <w:rFonts w:cstheme="minorHAnsi"/>
              </w:rPr>
            </w:pPr>
            <w:r>
              <w:rPr>
                <w:rFonts w:cstheme="minorHAnsi"/>
              </w:rPr>
              <w:t>PSHEE, Duke of Edinburgh Award.</w:t>
            </w:r>
          </w:p>
        </w:tc>
      </w:tr>
      <w:tr w:rsidR="00F77538" w:rsidTr="00A03E00">
        <w:tc>
          <w:tcPr>
            <w:tcW w:w="1413" w:type="dxa"/>
          </w:tcPr>
          <w:p w:rsidR="00F77538" w:rsidRDefault="00F77538" w:rsidP="00A03E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535" w:type="dxa"/>
          </w:tcPr>
          <w:p w:rsidR="00F77538" w:rsidRDefault="00F77538" w:rsidP="00A03E00">
            <w:pPr>
              <w:rPr>
                <w:rFonts w:cstheme="minorHAnsi"/>
              </w:rPr>
            </w:pPr>
            <w:r>
              <w:rPr>
                <w:rFonts w:cstheme="minorHAnsi"/>
              </w:rPr>
              <w:t>PSHEE, Student Leader Accreditation</w:t>
            </w:r>
            <w:r w:rsidR="00A95283">
              <w:rPr>
                <w:rFonts w:cstheme="minorHAnsi"/>
              </w:rPr>
              <w:t>.</w:t>
            </w:r>
          </w:p>
        </w:tc>
      </w:tr>
    </w:tbl>
    <w:p w:rsidR="00572E21" w:rsidRPr="00572E21" w:rsidRDefault="00572E21" w:rsidP="00572E21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14" w:name="_Toc454448555"/>
      <w:r>
        <w:rPr>
          <w:rFonts w:asciiTheme="minorHAnsi" w:hAnsiTheme="minorHAnsi"/>
          <w:color w:val="auto"/>
        </w:rPr>
        <w:t>Mastery Curriculum</w:t>
      </w:r>
      <w:bookmarkEnd w:id="14"/>
      <w:r>
        <w:rPr>
          <w:rFonts w:asciiTheme="minorHAnsi" w:hAnsiTheme="minorHAnsi"/>
          <w:color w:val="auto"/>
        </w:rPr>
        <w:t xml:space="preserve"> </w:t>
      </w:r>
    </w:p>
    <w:p w:rsidR="00572E21" w:rsidRDefault="00572E21" w:rsidP="00572E21">
      <w:pPr>
        <w:pStyle w:val="NoSpacing"/>
      </w:pPr>
    </w:p>
    <w:p w:rsidR="00572E21" w:rsidRDefault="00F737B0" w:rsidP="00572E2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Refer to Mastery Curriculum Policy. </w:t>
      </w:r>
    </w:p>
    <w:p w:rsidR="004D0515" w:rsidRDefault="00572E21" w:rsidP="00572E21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15" w:name="_Toc454448556"/>
      <w:r w:rsidRPr="00572E21">
        <w:rPr>
          <w:rFonts w:asciiTheme="minorHAnsi" w:hAnsiTheme="minorHAnsi"/>
          <w:color w:val="auto"/>
        </w:rPr>
        <w:t>T</w:t>
      </w:r>
      <w:r w:rsidR="004D0515" w:rsidRPr="00572E21">
        <w:rPr>
          <w:rFonts w:asciiTheme="minorHAnsi" w:hAnsiTheme="minorHAnsi"/>
          <w:color w:val="auto"/>
        </w:rPr>
        <w:t>eaching and Learning</w:t>
      </w:r>
      <w:bookmarkEnd w:id="15"/>
    </w:p>
    <w:p w:rsidR="00572E21" w:rsidRPr="00572E21" w:rsidRDefault="00572E21" w:rsidP="00572E21">
      <w:pPr>
        <w:pStyle w:val="NoSpacing"/>
      </w:pPr>
    </w:p>
    <w:p w:rsidR="007949B7" w:rsidRDefault="00F737B0" w:rsidP="007949B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Refer to Teaching and Learning Policy. </w:t>
      </w:r>
    </w:p>
    <w:p w:rsidR="004D0515" w:rsidRPr="003044AB" w:rsidRDefault="004D0515" w:rsidP="003044AB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16" w:name="_Toc454448557"/>
      <w:r w:rsidRPr="003044AB">
        <w:rPr>
          <w:rFonts w:asciiTheme="minorHAnsi" w:hAnsiTheme="minorHAnsi"/>
          <w:color w:val="auto"/>
        </w:rPr>
        <w:lastRenderedPageBreak/>
        <w:t>Marking and Assessment</w:t>
      </w:r>
      <w:bookmarkEnd w:id="16"/>
    </w:p>
    <w:p w:rsidR="004D0515" w:rsidRPr="004D0515" w:rsidRDefault="004D0515" w:rsidP="004D0515">
      <w:pPr>
        <w:pStyle w:val="NoSpacing"/>
      </w:pPr>
    </w:p>
    <w:p w:rsidR="004D0515" w:rsidRDefault="00F737B0" w:rsidP="004D051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Refer to mark and Assessment Policy.</w:t>
      </w:r>
    </w:p>
    <w:p w:rsidR="004D0515" w:rsidRPr="003044AB" w:rsidRDefault="004D0515" w:rsidP="003044AB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17" w:name="_Toc454448558"/>
      <w:r w:rsidRPr="003044AB">
        <w:rPr>
          <w:rFonts w:asciiTheme="minorHAnsi" w:hAnsiTheme="minorHAnsi"/>
          <w:color w:val="auto"/>
        </w:rPr>
        <w:t>Homework</w:t>
      </w:r>
      <w:bookmarkEnd w:id="17"/>
    </w:p>
    <w:p w:rsidR="004D0515" w:rsidRPr="004D0515" w:rsidRDefault="004D0515" w:rsidP="004D0515">
      <w:pPr>
        <w:pStyle w:val="NoSpacing"/>
      </w:pPr>
    </w:p>
    <w:p w:rsidR="004D0515" w:rsidRDefault="00F737B0" w:rsidP="004D051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Refer to Homework Policy. </w:t>
      </w:r>
    </w:p>
    <w:p w:rsidR="009F56D8" w:rsidRPr="003044AB" w:rsidRDefault="009F56D8" w:rsidP="003044AB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18" w:name="_Toc454448559"/>
      <w:r w:rsidRPr="003044AB">
        <w:rPr>
          <w:rFonts w:asciiTheme="minorHAnsi" w:hAnsiTheme="minorHAnsi"/>
          <w:color w:val="auto"/>
        </w:rPr>
        <w:t>PSHEE</w:t>
      </w:r>
      <w:bookmarkEnd w:id="18"/>
    </w:p>
    <w:p w:rsidR="009F56D8" w:rsidRPr="004D0515" w:rsidRDefault="009F56D8" w:rsidP="009F56D8">
      <w:pPr>
        <w:pStyle w:val="NoSpacing"/>
      </w:pPr>
    </w:p>
    <w:p w:rsidR="009F56D8" w:rsidRDefault="00F737B0" w:rsidP="009F56D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Refer to RSE Policy. </w:t>
      </w:r>
    </w:p>
    <w:p w:rsidR="009F56D8" w:rsidRPr="003044AB" w:rsidRDefault="009F56D8" w:rsidP="003044AB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19" w:name="_Toc454448560"/>
      <w:r w:rsidRPr="003044AB">
        <w:rPr>
          <w:rFonts w:asciiTheme="minorHAnsi" w:hAnsiTheme="minorHAnsi"/>
          <w:color w:val="auto"/>
        </w:rPr>
        <w:t>Literacy and Numeracy</w:t>
      </w:r>
      <w:bookmarkEnd w:id="19"/>
    </w:p>
    <w:p w:rsidR="009F56D8" w:rsidRPr="004D0515" w:rsidRDefault="009F56D8" w:rsidP="009F56D8">
      <w:pPr>
        <w:pStyle w:val="NoSpacing"/>
      </w:pPr>
    </w:p>
    <w:p w:rsidR="009F56D8" w:rsidRDefault="00F737B0" w:rsidP="009F56D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Refer to Literacy Policy and Numeracy Policy.</w:t>
      </w:r>
    </w:p>
    <w:p w:rsidR="009F56D8" w:rsidRPr="003044AB" w:rsidRDefault="009F56D8" w:rsidP="003044AB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20" w:name="_Toc454448561"/>
      <w:r w:rsidRPr="003044AB">
        <w:rPr>
          <w:rFonts w:asciiTheme="minorHAnsi" w:hAnsiTheme="minorHAnsi"/>
          <w:color w:val="auto"/>
        </w:rPr>
        <w:t>Collective Worship</w:t>
      </w:r>
      <w:bookmarkEnd w:id="20"/>
    </w:p>
    <w:p w:rsidR="009F56D8" w:rsidRPr="004D0515" w:rsidRDefault="009F56D8" w:rsidP="009F56D8">
      <w:pPr>
        <w:pStyle w:val="NoSpacing"/>
      </w:pPr>
    </w:p>
    <w:p w:rsidR="00F737B0" w:rsidRDefault="00F737B0" w:rsidP="007949B7">
      <w:pPr>
        <w:pStyle w:val="NoSpacing"/>
      </w:pPr>
      <w:r>
        <w:t>Refer to Collective Worship Policy.</w:t>
      </w:r>
    </w:p>
    <w:p w:rsidR="00F737B0" w:rsidRDefault="00F737B0" w:rsidP="007949B7">
      <w:pPr>
        <w:pStyle w:val="NoSpacing"/>
      </w:pPr>
    </w:p>
    <w:p w:rsidR="007949B7" w:rsidRDefault="007949B7" w:rsidP="007949B7">
      <w:pPr>
        <w:pStyle w:val="NoSpacing"/>
      </w:pPr>
      <w:r>
        <w:t xml:space="preserve"> </w:t>
      </w:r>
      <w:r w:rsidR="00F737B0">
        <w:t xml:space="preserve">Refer to annual Assemblies Programme. </w:t>
      </w:r>
    </w:p>
    <w:p w:rsidR="007949B7" w:rsidRDefault="007949B7" w:rsidP="007949B7">
      <w:pPr>
        <w:pStyle w:val="NoSpacing"/>
      </w:pPr>
    </w:p>
    <w:p w:rsidR="001E4458" w:rsidRDefault="007949B7" w:rsidP="001E4458">
      <w:pPr>
        <w:pStyle w:val="NoSpacing"/>
        <w:rPr>
          <w:rStyle w:val="Hyperlink"/>
          <w:rFonts w:cs="CPHIAN+Arial"/>
        </w:rPr>
      </w:pPr>
      <w:r>
        <w:rPr>
          <w:rFonts w:cs="CPHIAN+Arial"/>
          <w:color w:val="000000"/>
        </w:rPr>
        <w:t>An</w:t>
      </w:r>
      <w:r>
        <w:t xml:space="preserve">y parent who objects to their child attending an act or acts of collective worship may request that they are withdrawn under the </w:t>
      </w:r>
      <w:hyperlink r:id="rId12" w:history="1">
        <w:r>
          <w:rPr>
            <w:rStyle w:val="Hyperlink"/>
            <w:rFonts w:cs="CPHIAN+Arial"/>
          </w:rPr>
          <w:t>Education Act 1996 Part V, Chapter 3, Section 389</w:t>
        </w:r>
      </w:hyperlink>
      <w:r>
        <w:rPr>
          <w:rFonts w:cs="CPHIAN+Arial"/>
          <w:color w:val="000000"/>
        </w:rPr>
        <w:t xml:space="preserve"> or </w:t>
      </w:r>
      <w:r>
        <w:t xml:space="preserve">the </w:t>
      </w:r>
      <w:hyperlink r:id="rId13" w:history="1">
        <w:r>
          <w:rPr>
            <w:rStyle w:val="Hyperlink"/>
            <w:rFonts w:cs="CPHIAN+Arial"/>
          </w:rPr>
          <w:t>School Standards and Framework Act 1998 Part II, Chapter 6, Section 71.</w:t>
        </w:r>
      </w:hyperlink>
    </w:p>
    <w:p w:rsidR="00572E21" w:rsidRDefault="00572E21" w:rsidP="001E4458">
      <w:pPr>
        <w:pStyle w:val="NoSpacing"/>
        <w:rPr>
          <w:rStyle w:val="Hyperlink"/>
          <w:rFonts w:cs="CPHIAN+Arial"/>
        </w:rPr>
      </w:pPr>
    </w:p>
    <w:p w:rsidR="00572E21" w:rsidRPr="001E4458" w:rsidRDefault="00572E21" w:rsidP="001E4458">
      <w:pPr>
        <w:pStyle w:val="NoSpacing"/>
        <w:rPr>
          <w:rFonts w:cs="CPHIAN+Arial"/>
          <w:color w:val="000000"/>
        </w:rPr>
      </w:pPr>
    </w:p>
    <w:p w:rsidR="009F56D8" w:rsidRPr="003044AB" w:rsidRDefault="009F56D8" w:rsidP="003044AB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21" w:name="_Toc454448562"/>
      <w:r w:rsidRPr="003044AB">
        <w:rPr>
          <w:rFonts w:asciiTheme="minorHAnsi" w:hAnsiTheme="minorHAnsi"/>
          <w:color w:val="auto"/>
        </w:rPr>
        <w:lastRenderedPageBreak/>
        <w:t xml:space="preserve">Careers </w:t>
      </w:r>
      <w:r w:rsidR="001E4458" w:rsidRPr="003044AB">
        <w:rPr>
          <w:rFonts w:asciiTheme="minorHAnsi" w:hAnsiTheme="minorHAnsi"/>
          <w:color w:val="auto"/>
        </w:rPr>
        <w:t>Education</w:t>
      </w:r>
      <w:bookmarkEnd w:id="21"/>
    </w:p>
    <w:p w:rsidR="009F56D8" w:rsidRPr="004D0515" w:rsidRDefault="009F56D8" w:rsidP="009F56D8">
      <w:pPr>
        <w:pStyle w:val="NoSpacing"/>
      </w:pPr>
    </w:p>
    <w:p w:rsidR="001E4458" w:rsidRDefault="001E4458" w:rsidP="001E4458">
      <w:pPr>
        <w:pStyle w:val="NoSpacing"/>
      </w:pPr>
      <w:r w:rsidRPr="001E4458">
        <w:t>All pupils from Year 8, receive careers guidance from Connexions. This is undertaken in the Careers Centre - a purpose built, free -standing building, allocated specifically to careers education and guidance.</w:t>
      </w:r>
    </w:p>
    <w:p w:rsidR="001E4458" w:rsidRDefault="001E4458" w:rsidP="001E4458">
      <w:pPr>
        <w:pStyle w:val="NoSpacing"/>
      </w:pPr>
    </w:p>
    <w:p w:rsidR="001E4458" w:rsidRDefault="001E4458" w:rsidP="007949B7">
      <w:r>
        <w:t>Careers education and preparation for working life are covered through</w:t>
      </w:r>
      <w:r w:rsidR="00EA30A0">
        <w:t xml:space="preserve"> PSHEE at KS3 and the</w:t>
      </w:r>
      <w:r>
        <w:t xml:space="preserve"> Life Skills and P</w:t>
      </w:r>
      <w:r w:rsidR="00EA30A0">
        <w:t>ersonal Development programmes at KS4.</w:t>
      </w:r>
    </w:p>
    <w:p w:rsidR="004B1AC5" w:rsidRPr="001E4458" w:rsidRDefault="004B1AC5" w:rsidP="004B1AC5">
      <w:pPr>
        <w:pStyle w:val="NoSpacing"/>
      </w:pPr>
      <w:r w:rsidRPr="004B1AC5">
        <w:t xml:space="preserve">All pupils in Year 10 </w:t>
      </w:r>
      <w:r w:rsidR="00EA30A0">
        <w:t>have the opportunity</w:t>
      </w:r>
      <w:r w:rsidRPr="004B1AC5">
        <w:t xml:space="preserve"> to take part in the Work Experience Programme </w:t>
      </w:r>
      <w:r>
        <w:t xml:space="preserve">which is organised in the summer closure period. </w:t>
      </w:r>
    </w:p>
    <w:p w:rsidR="001E4458" w:rsidRPr="003044AB" w:rsidRDefault="001E4458" w:rsidP="003044AB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22" w:name="_Toc454448563"/>
      <w:r w:rsidRPr="003044AB">
        <w:rPr>
          <w:rFonts w:asciiTheme="minorHAnsi" w:hAnsiTheme="minorHAnsi"/>
          <w:color w:val="auto"/>
        </w:rPr>
        <w:t>Celebrating Success</w:t>
      </w:r>
      <w:bookmarkEnd w:id="22"/>
    </w:p>
    <w:p w:rsidR="001E4458" w:rsidRPr="004D0515" w:rsidRDefault="001E4458" w:rsidP="001E4458">
      <w:pPr>
        <w:pStyle w:val="NoSpacing"/>
      </w:pPr>
    </w:p>
    <w:p w:rsidR="001E4458" w:rsidRDefault="00F737B0" w:rsidP="001E445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Refer to Celebrating Success Policy. </w:t>
      </w:r>
    </w:p>
    <w:p w:rsidR="004F669D" w:rsidRPr="00205415" w:rsidRDefault="004F669D" w:rsidP="00B125AB">
      <w:pPr>
        <w:pStyle w:val="NoSpacing"/>
        <w:rPr>
          <w:vertAlign w:val="superscript"/>
        </w:rPr>
      </w:pPr>
    </w:p>
    <w:sectPr w:rsidR="004F669D" w:rsidRPr="00205415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00" w:rsidRDefault="00A03E00">
      <w:pPr>
        <w:spacing w:after="0" w:line="240" w:lineRule="auto"/>
      </w:pPr>
      <w:r>
        <w:separator/>
      </w:r>
    </w:p>
  </w:endnote>
  <w:endnote w:type="continuationSeparator" w:id="0">
    <w:p w:rsidR="00A03E00" w:rsidRDefault="00A0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PHIA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52189"/>
      <w:docPartObj>
        <w:docPartGallery w:val="Page Numbers (Bottom of Page)"/>
        <w:docPartUnique/>
      </w:docPartObj>
    </w:sdtPr>
    <w:sdtEndPr/>
    <w:sdtContent>
      <w:p w:rsidR="00A03E00" w:rsidRDefault="00A03E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2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03E00" w:rsidRDefault="00A03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00" w:rsidRDefault="00A03E00">
      <w:pPr>
        <w:spacing w:after="0" w:line="240" w:lineRule="auto"/>
      </w:pPr>
      <w:r>
        <w:separator/>
      </w:r>
    </w:p>
  </w:footnote>
  <w:footnote w:type="continuationSeparator" w:id="0">
    <w:p w:rsidR="00A03E00" w:rsidRDefault="00A0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abstractNum w:abstractNumId="0" w15:restartNumberingAfterBreak="0">
    <w:nsid w:val="FFFFFF83"/>
    <w:multiLevelType w:val="singleLevel"/>
    <w:tmpl w:val="2C7AC8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7C41A8"/>
    <w:multiLevelType w:val="hybridMultilevel"/>
    <w:tmpl w:val="299C8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3A97"/>
    <w:multiLevelType w:val="hybridMultilevel"/>
    <w:tmpl w:val="E180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29A3"/>
    <w:multiLevelType w:val="multilevel"/>
    <w:tmpl w:val="03F2B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D31CDB"/>
    <w:multiLevelType w:val="multilevel"/>
    <w:tmpl w:val="60BEC9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91036"/>
    <w:multiLevelType w:val="multilevel"/>
    <w:tmpl w:val="17E06C8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" w15:restartNumberingAfterBreak="0">
    <w:nsid w:val="3D0063A0"/>
    <w:multiLevelType w:val="hybridMultilevel"/>
    <w:tmpl w:val="6AAC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1D9B"/>
    <w:multiLevelType w:val="hybridMultilevel"/>
    <w:tmpl w:val="E6F0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16C8D"/>
    <w:multiLevelType w:val="multilevel"/>
    <w:tmpl w:val="5FF22C50"/>
    <w:lvl w:ilvl="0">
      <w:start w:val="1"/>
      <w:numFmt w:val="decimal"/>
      <w:lvlText w:val="%1.0"/>
      <w:lvlJc w:val="left"/>
      <w:pPr>
        <w:ind w:left="375" w:hanging="37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10" w15:restartNumberingAfterBreak="0">
    <w:nsid w:val="646C4FBE"/>
    <w:multiLevelType w:val="multilevel"/>
    <w:tmpl w:val="CF8CD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B8542A"/>
    <w:multiLevelType w:val="hybridMultilevel"/>
    <w:tmpl w:val="243A17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BE1521"/>
    <w:multiLevelType w:val="hybridMultilevel"/>
    <w:tmpl w:val="8A92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44997"/>
    <w:multiLevelType w:val="hybridMultilevel"/>
    <w:tmpl w:val="6DF03360"/>
    <w:lvl w:ilvl="0" w:tplc="B0AE795E">
      <w:start w:val="1"/>
      <w:numFmt w:val="bullet"/>
      <w:pStyle w:val="Bulletsroun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50A0"/>
    <w:multiLevelType w:val="multilevel"/>
    <w:tmpl w:val="A850B93C"/>
    <w:lvl w:ilvl="0">
      <w:start w:val="1"/>
      <w:numFmt w:val="decimal"/>
      <w:lvlText w:val="%1.0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A4"/>
    <w:rsid w:val="00001234"/>
    <w:rsid w:val="00006291"/>
    <w:rsid w:val="000123A3"/>
    <w:rsid w:val="000221CC"/>
    <w:rsid w:val="00032908"/>
    <w:rsid w:val="000442A9"/>
    <w:rsid w:val="0005267E"/>
    <w:rsid w:val="00054660"/>
    <w:rsid w:val="00057A0A"/>
    <w:rsid w:val="00067CAF"/>
    <w:rsid w:val="000773F0"/>
    <w:rsid w:val="00077EAD"/>
    <w:rsid w:val="00096C7F"/>
    <w:rsid w:val="00097657"/>
    <w:rsid w:val="000A2B8D"/>
    <w:rsid w:val="000B07FF"/>
    <w:rsid w:val="000C54B8"/>
    <w:rsid w:val="000E4B8A"/>
    <w:rsid w:val="000E7569"/>
    <w:rsid w:val="000F7856"/>
    <w:rsid w:val="0011228F"/>
    <w:rsid w:val="001179D2"/>
    <w:rsid w:val="00123E17"/>
    <w:rsid w:val="001269CA"/>
    <w:rsid w:val="001325ED"/>
    <w:rsid w:val="001569A2"/>
    <w:rsid w:val="0016252E"/>
    <w:rsid w:val="00163F0D"/>
    <w:rsid w:val="00183075"/>
    <w:rsid w:val="001A1F81"/>
    <w:rsid w:val="001A5551"/>
    <w:rsid w:val="001A7842"/>
    <w:rsid w:val="001C1A42"/>
    <w:rsid w:val="001D39BD"/>
    <w:rsid w:val="001E4458"/>
    <w:rsid w:val="001E6EC9"/>
    <w:rsid w:val="00205415"/>
    <w:rsid w:val="00217E6A"/>
    <w:rsid w:val="00223DBE"/>
    <w:rsid w:val="00227229"/>
    <w:rsid w:val="002278D6"/>
    <w:rsid w:val="002300E3"/>
    <w:rsid w:val="00234919"/>
    <w:rsid w:val="00243A2A"/>
    <w:rsid w:val="00260386"/>
    <w:rsid w:val="0026695C"/>
    <w:rsid w:val="0027274E"/>
    <w:rsid w:val="00275731"/>
    <w:rsid w:val="0027769A"/>
    <w:rsid w:val="0028064B"/>
    <w:rsid w:val="00286B20"/>
    <w:rsid w:val="0029080F"/>
    <w:rsid w:val="002B70D7"/>
    <w:rsid w:val="002C708A"/>
    <w:rsid w:val="002D32AA"/>
    <w:rsid w:val="002E1338"/>
    <w:rsid w:val="002E2B37"/>
    <w:rsid w:val="002E3F01"/>
    <w:rsid w:val="002F4B57"/>
    <w:rsid w:val="003044AB"/>
    <w:rsid w:val="0031483A"/>
    <w:rsid w:val="00327E7C"/>
    <w:rsid w:val="00331CEE"/>
    <w:rsid w:val="0033243D"/>
    <w:rsid w:val="003336D6"/>
    <w:rsid w:val="00334112"/>
    <w:rsid w:val="00341EF5"/>
    <w:rsid w:val="00350B7C"/>
    <w:rsid w:val="00367A11"/>
    <w:rsid w:val="00370440"/>
    <w:rsid w:val="0037209F"/>
    <w:rsid w:val="003869F1"/>
    <w:rsid w:val="00391593"/>
    <w:rsid w:val="00393E9F"/>
    <w:rsid w:val="00395D3E"/>
    <w:rsid w:val="00397A96"/>
    <w:rsid w:val="003A4EAF"/>
    <w:rsid w:val="003B18AA"/>
    <w:rsid w:val="003C0A5F"/>
    <w:rsid w:val="003C5AF6"/>
    <w:rsid w:val="003F0338"/>
    <w:rsid w:val="003F28DE"/>
    <w:rsid w:val="003F430E"/>
    <w:rsid w:val="003F4E3A"/>
    <w:rsid w:val="004249E1"/>
    <w:rsid w:val="004268DF"/>
    <w:rsid w:val="004306EA"/>
    <w:rsid w:val="00430B68"/>
    <w:rsid w:val="00453BC9"/>
    <w:rsid w:val="00456146"/>
    <w:rsid w:val="004722EB"/>
    <w:rsid w:val="00492529"/>
    <w:rsid w:val="00497167"/>
    <w:rsid w:val="004A4F36"/>
    <w:rsid w:val="004B1AC5"/>
    <w:rsid w:val="004C1DA1"/>
    <w:rsid w:val="004C5068"/>
    <w:rsid w:val="004D0515"/>
    <w:rsid w:val="004D2645"/>
    <w:rsid w:val="004D6517"/>
    <w:rsid w:val="004F669D"/>
    <w:rsid w:val="004F74D9"/>
    <w:rsid w:val="00504417"/>
    <w:rsid w:val="00517F2D"/>
    <w:rsid w:val="00524F0F"/>
    <w:rsid w:val="00536C64"/>
    <w:rsid w:val="0055444D"/>
    <w:rsid w:val="00572E21"/>
    <w:rsid w:val="00580DDB"/>
    <w:rsid w:val="005845BE"/>
    <w:rsid w:val="00597549"/>
    <w:rsid w:val="005B401F"/>
    <w:rsid w:val="005B5178"/>
    <w:rsid w:val="005B709B"/>
    <w:rsid w:val="005D1D65"/>
    <w:rsid w:val="005D4147"/>
    <w:rsid w:val="005D6C42"/>
    <w:rsid w:val="005D6E06"/>
    <w:rsid w:val="005E5F28"/>
    <w:rsid w:val="005F2747"/>
    <w:rsid w:val="0061438D"/>
    <w:rsid w:val="00622B41"/>
    <w:rsid w:val="00626D5E"/>
    <w:rsid w:val="00664232"/>
    <w:rsid w:val="006753F2"/>
    <w:rsid w:val="00690096"/>
    <w:rsid w:val="00694C7B"/>
    <w:rsid w:val="006A3902"/>
    <w:rsid w:val="006C2382"/>
    <w:rsid w:val="006E4A05"/>
    <w:rsid w:val="006F7717"/>
    <w:rsid w:val="00705344"/>
    <w:rsid w:val="007103C1"/>
    <w:rsid w:val="00713938"/>
    <w:rsid w:val="0072757F"/>
    <w:rsid w:val="0074367A"/>
    <w:rsid w:val="00744CC8"/>
    <w:rsid w:val="00773FB8"/>
    <w:rsid w:val="00776F5D"/>
    <w:rsid w:val="00780B5B"/>
    <w:rsid w:val="00785257"/>
    <w:rsid w:val="007949B7"/>
    <w:rsid w:val="007A0254"/>
    <w:rsid w:val="007B0434"/>
    <w:rsid w:val="007B7734"/>
    <w:rsid w:val="007C43E2"/>
    <w:rsid w:val="007D0684"/>
    <w:rsid w:val="007D5D80"/>
    <w:rsid w:val="007F2709"/>
    <w:rsid w:val="007F420B"/>
    <w:rsid w:val="007F4C74"/>
    <w:rsid w:val="0080033D"/>
    <w:rsid w:val="00803A6F"/>
    <w:rsid w:val="00824CCB"/>
    <w:rsid w:val="008251AD"/>
    <w:rsid w:val="00830F68"/>
    <w:rsid w:val="008465FC"/>
    <w:rsid w:val="008474B1"/>
    <w:rsid w:val="0086234F"/>
    <w:rsid w:val="00874400"/>
    <w:rsid w:val="008760AE"/>
    <w:rsid w:val="0088110E"/>
    <w:rsid w:val="00890C36"/>
    <w:rsid w:val="008A3420"/>
    <w:rsid w:val="008A5E10"/>
    <w:rsid w:val="008A6110"/>
    <w:rsid w:val="008A6938"/>
    <w:rsid w:val="008A7F98"/>
    <w:rsid w:val="008B0CE0"/>
    <w:rsid w:val="008B3B74"/>
    <w:rsid w:val="008C2BED"/>
    <w:rsid w:val="008C5074"/>
    <w:rsid w:val="008D0475"/>
    <w:rsid w:val="008E1B83"/>
    <w:rsid w:val="008E1D9C"/>
    <w:rsid w:val="008E24E5"/>
    <w:rsid w:val="00900501"/>
    <w:rsid w:val="009054FE"/>
    <w:rsid w:val="00916E5C"/>
    <w:rsid w:val="00920FCA"/>
    <w:rsid w:val="00936472"/>
    <w:rsid w:val="00946339"/>
    <w:rsid w:val="00955CED"/>
    <w:rsid w:val="009579F7"/>
    <w:rsid w:val="00960794"/>
    <w:rsid w:val="00961D66"/>
    <w:rsid w:val="00964606"/>
    <w:rsid w:val="00982EFB"/>
    <w:rsid w:val="00983E40"/>
    <w:rsid w:val="009B29ED"/>
    <w:rsid w:val="009C3BCD"/>
    <w:rsid w:val="009E44E7"/>
    <w:rsid w:val="009F56D8"/>
    <w:rsid w:val="00A02DEF"/>
    <w:rsid w:val="00A0334E"/>
    <w:rsid w:val="00A03E00"/>
    <w:rsid w:val="00A256C3"/>
    <w:rsid w:val="00A455E7"/>
    <w:rsid w:val="00A65B51"/>
    <w:rsid w:val="00A74745"/>
    <w:rsid w:val="00A92B28"/>
    <w:rsid w:val="00A95283"/>
    <w:rsid w:val="00AB0000"/>
    <w:rsid w:val="00AB1C38"/>
    <w:rsid w:val="00AB6B6A"/>
    <w:rsid w:val="00AB6F32"/>
    <w:rsid w:val="00AC0FF8"/>
    <w:rsid w:val="00AC13DB"/>
    <w:rsid w:val="00AC20A5"/>
    <w:rsid w:val="00AC2D32"/>
    <w:rsid w:val="00AD1623"/>
    <w:rsid w:val="00AE28CB"/>
    <w:rsid w:val="00AE44DE"/>
    <w:rsid w:val="00AF0076"/>
    <w:rsid w:val="00AF3420"/>
    <w:rsid w:val="00B125AB"/>
    <w:rsid w:val="00B13967"/>
    <w:rsid w:val="00B17BD2"/>
    <w:rsid w:val="00B24006"/>
    <w:rsid w:val="00B47593"/>
    <w:rsid w:val="00B60548"/>
    <w:rsid w:val="00B65CD3"/>
    <w:rsid w:val="00B74305"/>
    <w:rsid w:val="00B84E0E"/>
    <w:rsid w:val="00B94928"/>
    <w:rsid w:val="00BA26EE"/>
    <w:rsid w:val="00BA6634"/>
    <w:rsid w:val="00BB4763"/>
    <w:rsid w:val="00BB4C4D"/>
    <w:rsid w:val="00BD2309"/>
    <w:rsid w:val="00BE4A29"/>
    <w:rsid w:val="00BE4AE5"/>
    <w:rsid w:val="00BE5734"/>
    <w:rsid w:val="00BF5B37"/>
    <w:rsid w:val="00BF5DAC"/>
    <w:rsid w:val="00BF7F35"/>
    <w:rsid w:val="00C535DD"/>
    <w:rsid w:val="00C5609D"/>
    <w:rsid w:val="00C62EAD"/>
    <w:rsid w:val="00C6766A"/>
    <w:rsid w:val="00C72506"/>
    <w:rsid w:val="00C748D7"/>
    <w:rsid w:val="00C74F82"/>
    <w:rsid w:val="00C822F6"/>
    <w:rsid w:val="00C839B4"/>
    <w:rsid w:val="00C9427A"/>
    <w:rsid w:val="00CB0089"/>
    <w:rsid w:val="00CB3914"/>
    <w:rsid w:val="00CB4A4D"/>
    <w:rsid w:val="00CD0F9B"/>
    <w:rsid w:val="00CF36C4"/>
    <w:rsid w:val="00D006F0"/>
    <w:rsid w:val="00D040C8"/>
    <w:rsid w:val="00D06E7F"/>
    <w:rsid w:val="00D070C1"/>
    <w:rsid w:val="00D25307"/>
    <w:rsid w:val="00D34690"/>
    <w:rsid w:val="00D34B6A"/>
    <w:rsid w:val="00D40902"/>
    <w:rsid w:val="00D5585B"/>
    <w:rsid w:val="00D71DAB"/>
    <w:rsid w:val="00D72058"/>
    <w:rsid w:val="00D772AC"/>
    <w:rsid w:val="00D961F9"/>
    <w:rsid w:val="00D9658F"/>
    <w:rsid w:val="00DA024A"/>
    <w:rsid w:val="00DA3A0B"/>
    <w:rsid w:val="00DC3551"/>
    <w:rsid w:val="00DD76BB"/>
    <w:rsid w:val="00DD7BFA"/>
    <w:rsid w:val="00DE4605"/>
    <w:rsid w:val="00DE486C"/>
    <w:rsid w:val="00DF14B3"/>
    <w:rsid w:val="00E0125C"/>
    <w:rsid w:val="00E0535C"/>
    <w:rsid w:val="00E06C9D"/>
    <w:rsid w:val="00E14A1D"/>
    <w:rsid w:val="00E15501"/>
    <w:rsid w:val="00E16FAF"/>
    <w:rsid w:val="00E240B5"/>
    <w:rsid w:val="00E33DA4"/>
    <w:rsid w:val="00E377B5"/>
    <w:rsid w:val="00E43351"/>
    <w:rsid w:val="00E55134"/>
    <w:rsid w:val="00E604AB"/>
    <w:rsid w:val="00E834F0"/>
    <w:rsid w:val="00E96F93"/>
    <w:rsid w:val="00E97F99"/>
    <w:rsid w:val="00EA01BC"/>
    <w:rsid w:val="00EA30A0"/>
    <w:rsid w:val="00EA4187"/>
    <w:rsid w:val="00EA637E"/>
    <w:rsid w:val="00EA6B66"/>
    <w:rsid w:val="00EE623B"/>
    <w:rsid w:val="00F01401"/>
    <w:rsid w:val="00F028A2"/>
    <w:rsid w:val="00F1780D"/>
    <w:rsid w:val="00F24012"/>
    <w:rsid w:val="00F47618"/>
    <w:rsid w:val="00F531C8"/>
    <w:rsid w:val="00F547E1"/>
    <w:rsid w:val="00F56E3F"/>
    <w:rsid w:val="00F737B0"/>
    <w:rsid w:val="00F77538"/>
    <w:rsid w:val="00F85E17"/>
    <w:rsid w:val="00F86021"/>
    <w:rsid w:val="00F90B1A"/>
    <w:rsid w:val="00F970C2"/>
    <w:rsid w:val="00FB1D52"/>
    <w:rsid w:val="00FC492E"/>
    <w:rsid w:val="00FC5F3D"/>
    <w:rsid w:val="00FC7376"/>
    <w:rsid w:val="00FC746E"/>
    <w:rsid w:val="00FE6C0E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480A713-92D9-4655-B545-5B640EA1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2">
    <w:name w:val="List Bullet 2"/>
    <w:basedOn w:val="Normal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ulletsround">
    <w:name w:val="Bullets (round)"/>
    <w:basedOn w:val="Normal"/>
    <w:link w:val="BulletsroundChar"/>
    <w:pPr>
      <w:numPr>
        <w:numId w:val="2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roundChar">
    <w:name w:val="Bullets (round) Char"/>
    <w:basedOn w:val="DefaultParagraphFont"/>
    <w:link w:val="Bulletsround"/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yle91">
    <w:name w:val="style91"/>
    <w:basedOn w:val="DefaultParagraphFont"/>
    <w:rPr>
      <w:rFonts w:ascii="Arial" w:hAnsi="Arial" w:cs="Arial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45" w:after="120" w:line="288" w:lineRule="atLeast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spacing w:after="0"/>
    </w:pPr>
    <w:rPr>
      <w:rFonts w:ascii="Tahoma" w:eastAsia="Times New Roman" w:hAnsi="Tahoma" w:cs="Times New Roman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ahoma" w:eastAsia="Times New Roman" w:hAnsi="Tahoma" w:cs="Times New Roman"/>
      <w:b/>
      <w:bCs/>
      <w:color w:val="000000"/>
      <w:sz w:val="20"/>
      <w:szCs w:val="20"/>
      <w:lang w:eastAsia="en-US"/>
    </w:rPr>
  </w:style>
  <w:style w:type="paragraph" w:customStyle="1" w:styleId="Tabletextbullet">
    <w:name w:val="Table text bullet"/>
    <w:basedOn w:val="Normal"/>
    <w:pPr>
      <w:numPr>
        <w:numId w:val="3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sspaced-lastbullet">
    <w:name w:val="Bullets (spaced) - last bullet"/>
    <w:basedOn w:val="Normal"/>
    <w:link w:val="Bulletsspaced-lastbulletChar"/>
    <w:uiPriority w:val="99"/>
    <w:pPr>
      <w:tabs>
        <w:tab w:val="num" w:pos="1980"/>
      </w:tabs>
      <w:spacing w:before="120" w:after="240" w:line="240" w:lineRule="auto"/>
      <w:ind w:left="1980" w:hanging="360"/>
    </w:pPr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Bulletsspaced-lastbulletChar">
    <w:name w:val="Bullets (spaced) - last bullet Char"/>
    <w:link w:val="Bulletsspaced-lastbullet"/>
    <w:uiPriority w:val="99"/>
    <w:locked/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text-left">
    <w:name w:val="Table text - left"/>
    <w:basedOn w:val="Normal"/>
    <w:link w:val="Tabletext-leftChar"/>
    <w:p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character" w:customStyle="1" w:styleId="Tabletext-leftChar">
    <w:name w:val="Table text - left Char"/>
    <w:link w:val="Tabletext-left"/>
    <w:locked/>
    <w:rPr>
      <w:rFonts w:ascii="Tahoma" w:eastAsia="Times New Roman" w:hAnsi="Tahoma" w:cs="Times New Roman"/>
      <w:color w:val="000000"/>
      <w:szCs w:val="24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Cs w:val="21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8A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096C7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0751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165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si.gov.uk/acts/acts1998/ukpga_19980031_en_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si.gov.uk/Acts/acts1996/ukpga_19960056_en_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1F517371E9E46A45F708043690AB1" ma:contentTypeVersion="0" ma:contentTypeDescription="Create a new document." ma:contentTypeScope="" ma:versionID="ef9db39941ff05800fdc71dd2dd996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71C7-FC90-4B7B-A9AF-B37CAE4B4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6210BE-7DEB-45E7-ABDA-58E01FBB0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06CFA-798C-478E-B1CA-89EFAC5DF74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03659F-5D91-428B-B036-72A4C262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8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Neil Houchen</cp:lastModifiedBy>
  <cp:revision>28</cp:revision>
  <cp:lastPrinted>2016-07-13T07:36:00Z</cp:lastPrinted>
  <dcterms:created xsi:type="dcterms:W3CDTF">2016-06-10T07:58:00Z</dcterms:created>
  <dcterms:modified xsi:type="dcterms:W3CDTF">2017-05-17T11:10:00Z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0x0101006A81F517371E9E46A45F708043690AB1</vt:lpwstr>
  </property>
</Properties>
</file>