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4DFDF" w14:textId="77777777" w:rsidR="00FE236A" w:rsidRDefault="00FE236A" w:rsidP="00FE236A">
      <w:pPr>
        <w:jc w:val="center"/>
        <w:rPr>
          <w:rFonts w:cs="Arial"/>
          <w:noProof/>
          <w:sz w:val="72"/>
          <w:szCs w:val="96"/>
          <w:lang w:eastAsia="en-GB"/>
        </w:rPr>
      </w:pPr>
    </w:p>
    <w:p w14:paraId="051A23C5" w14:textId="77777777" w:rsidR="0049725F" w:rsidRDefault="0049725F" w:rsidP="00FE236A">
      <w:pPr>
        <w:jc w:val="center"/>
        <w:rPr>
          <w:rFonts w:cs="Arial"/>
          <w:noProof/>
          <w:sz w:val="72"/>
          <w:szCs w:val="96"/>
          <w:lang w:eastAsia="en-GB"/>
        </w:rPr>
      </w:pPr>
    </w:p>
    <w:p w14:paraId="4E184705" w14:textId="77777777" w:rsidR="00502E8E" w:rsidRDefault="00502E8E" w:rsidP="00FE236A">
      <w:pPr>
        <w:jc w:val="center"/>
        <w:rPr>
          <w:rFonts w:cs="Arial"/>
          <w:noProof/>
          <w:sz w:val="72"/>
          <w:szCs w:val="96"/>
          <w:lang w:eastAsia="en-GB"/>
        </w:rPr>
      </w:pPr>
    </w:p>
    <w:p w14:paraId="715AF183" w14:textId="77777777" w:rsidR="007428C6" w:rsidRDefault="007428C6" w:rsidP="00FE236A">
      <w:pPr>
        <w:jc w:val="center"/>
        <w:rPr>
          <w:rFonts w:cs="Arial"/>
          <w:noProof/>
          <w:sz w:val="36"/>
          <w:szCs w:val="36"/>
          <w:lang w:eastAsia="en-GB"/>
        </w:rPr>
      </w:pPr>
    </w:p>
    <w:p w14:paraId="5DDB4CB6" w14:textId="77777777" w:rsidR="007428C6" w:rsidRDefault="007428C6" w:rsidP="00FE236A">
      <w:pPr>
        <w:jc w:val="center"/>
        <w:rPr>
          <w:rFonts w:cs="Arial"/>
          <w:noProof/>
          <w:sz w:val="36"/>
          <w:szCs w:val="36"/>
          <w:lang w:eastAsia="en-GB"/>
        </w:rPr>
      </w:pPr>
    </w:p>
    <w:p w14:paraId="411ABE0E" w14:textId="77777777" w:rsidR="007428C6" w:rsidRPr="007428C6" w:rsidRDefault="007428C6" w:rsidP="00FE236A">
      <w:pPr>
        <w:jc w:val="center"/>
        <w:rPr>
          <w:rFonts w:cs="Arial"/>
          <w:noProof/>
          <w:sz w:val="36"/>
          <w:szCs w:val="36"/>
          <w:lang w:eastAsia="en-GB"/>
        </w:rPr>
      </w:pPr>
    </w:p>
    <w:p w14:paraId="5DC7BE62" w14:textId="77777777" w:rsidR="000449C3" w:rsidRPr="003D36FD" w:rsidRDefault="000449C3" w:rsidP="000449C3">
      <w:pPr>
        <w:jc w:val="center"/>
        <w:rPr>
          <w:rFonts w:ascii="Calibri" w:hAnsi="Calibri"/>
          <w:sz w:val="56"/>
          <w:szCs w:val="56"/>
        </w:rPr>
      </w:pPr>
      <w:r w:rsidRPr="003D36FD">
        <w:rPr>
          <w:rFonts w:ascii="Calibri" w:hAnsi="Calibri"/>
          <w:sz w:val="56"/>
          <w:szCs w:val="56"/>
        </w:rPr>
        <w:t xml:space="preserve">Eastwood Park Academy Trust </w:t>
      </w:r>
    </w:p>
    <w:p w14:paraId="52DFA5B2" w14:textId="77777777" w:rsidR="000449C3" w:rsidRPr="003D36FD" w:rsidRDefault="000449C3" w:rsidP="000449C3">
      <w:pPr>
        <w:pStyle w:val="NoSpacing"/>
      </w:pPr>
    </w:p>
    <w:p w14:paraId="68E46D50" w14:textId="77777777" w:rsidR="000449C3" w:rsidRPr="003D36FD" w:rsidRDefault="000449C3" w:rsidP="000449C3">
      <w:pPr>
        <w:pStyle w:val="NoSpacing"/>
      </w:pPr>
    </w:p>
    <w:p w14:paraId="1E427320" w14:textId="34D9CF89" w:rsidR="000449C3" w:rsidRPr="003D36FD" w:rsidRDefault="000449C3" w:rsidP="000449C3">
      <w:pPr>
        <w:jc w:val="center"/>
        <w:rPr>
          <w:rFonts w:ascii="Calibri" w:hAnsi="Calibri"/>
          <w:i/>
        </w:rPr>
      </w:pPr>
      <w:r w:rsidRPr="00493ECC">
        <w:rPr>
          <w:rFonts w:ascii="Calibri" w:hAnsi="Calibri"/>
          <w:noProof/>
          <w:lang w:eastAsia="en-GB"/>
        </w:rPr>
        <w:drawing>
          <wp:inline distT="0" distB="0" distL="0" distR="0" wp14:anchorId="67D7D308" wp14:editId="6D6773FE">
            <wp:extent cx="2011680" cy="914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33" t="48314" r="46555" b="4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5D07" w14:textId="77777777" w:rsidR="000449C3" w:rsidRPr="003D36FD" w:rsidRDefault="000449C3" w:rsidP="000449C3">
      <w:pPr>
        <w:pStyle w:val="NoSpacing"/>
      </w:pPr>
    </w:p>
    <w:p w14:paraId="2AC8BD8C" w14:textId="77777777" w:rsidR="000449C3" w:rsidRPr="003D36FD" w:rsidRDefault="000449C3" w:rsidP="000449C3">
      <w:pPr>
        <w:pStyle w:val="NoSpacing"/>
      </w:pPr>
    </w:p>
    <w:p w14:paraId="721C5BD4" w14:textId="25D4D520" w:rsidR="000449C3" w:rsidRDefault="000449C3" w:rsidP="000449C3">
      <w:pPr>
        <w:jc w:val="center"/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>CPD Policy</w:t>
      </w:r>
    </w:p>
    <w:p w14:paraId="44FBC828" w14:textId="77777777" w:rsidR="000449C3" w:rsidRPr="00B11DEE" w:rsidRDefault="000449C3" w:rsidP="000449C3">
      <w:pPr>
        <w:jc w:val="center"/>
        <w:rPr>
          <w:sz w:val="32"/>
          <w:szCs w:val="32"/>
        </w:rPr>
      </w:pPr>
    </w:p>
    <w:p w14:paraId="0A3A6EFE" w14:textId="77777777" w:rsidR="000449C3" w:rsidRPr="003725BD" w:rsidRDefault="000449C3" w:rsidP="000449C3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2"/>
      </w:tblGrid>
      <w:tr w:rsidR="000449C3" w:rsidRPr="009B7134" w14:paraId="02C0467E" w14:textId="77777777" w:rsidTr="0055096F">
        <w:trPr>
          <w:jc w:val="center"/>
        </w:trPr>
        <w:tc>
          <w:tcPr>
            <w:tcW w:w="4428" w:type="dxa"/>
            <w:shd w:val="clear" w:color="auto" w:fill="auto"/>
          </w:tcPr>
          <w:p w14:paraId="7EC0AC2F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9228EB">
              <w:rPr>
                <w:rFonts w:ascii="Calibri" w:hAnsi="Calibri"/>
              </w:rPr>
              <w:t xml:space="preserve">Author’s Name: </w:t>
            </w:r>
          </w:p>
        </w:tc>
        <w:tc>
          <w:tcPr>
            <w:tcW w:w="4428" w:type="dxa"/>
            <w:shd w:val="clear" w:color="auto" w:fill="auto"/>
          </w:tcPr>
          <w:p w14:paraId="409A83D5" w14:textId="407B2C63" w:rsidR="000449C3" w:rsidRPr="009228EB" w:rsidRDefault="000449C3" w:rsidP="000449C3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Mr. N. Houchen</w:t>
            </w:r>
          </w:p>
        </w:tc>
      </w:tr>
      <w:tr w:rsidR="000449C3" w:rsidRPr="009B7134" w14:paraId="11B004E6" w14:textId="77777777" w:rsidTr="0055096F">
        <w:trPr>
          <w:jc w:val="center"/>
        </w:trPr>
        <w:tc>
          <w:tcPr>
            <w:tcW w:w="4428" w:type="dxa"/>
            <w:shd w:val="clear" w:color="auto" w:fill="auto"/>
          </w:tcPr>
          <w:p w14:paraId="255D0786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9228EB">
              <w:rPr>
                <w:rFonts w:ascii="Calibri" w:hAnsi="Calibri"/>
              </w:rPr>
              <w:t>Date Reviewed</w:t>
            </w:r>
          </w:p>
        </w:tc>
        <w:tc>
          <w:tcPr>
            <w:tcW w:w="4428" w:type="dxa"/>
            <w:shd w:val="clear" w:color="auto" w:fill="auto"/>
          </w:tcPr>
          <w:p w14:paraId="7CF6588D" w14:textId="5590816A" w:rsidR="000449C3" w:rsidRPr="009228EB" w:rsidRDefault="00535F42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June </w:t>
            </w:r>
            <w:bookmarkStart w:id="0" w:name="_GoBack"/>
            <w:bookmarkEnd w:id="0"/>
            <w:r w:rsidR="000449C3" w:rsidRPr="009228EB">
              <w:rPr>
                <w:rFonts w:ascii="Calibri" w:hAnsi="Calibri"/>
              </w:rPr>
              <w:t>2017</w:t>
            </w:r>
          </w:p>
        </w:tc>
      </w:tr>
      <w:tr w:rsidR="000449C3" w:rsidRPr="009B7134" w14:paraId="39EA7510" w14:textId="77777777" w:rsidTr="0055096F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28B89FC8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9228EB">
              <w:rPr>
                <w:rFonts w:ascii="Calibri" w:hAnsi="Calibri"/>
              </w:rPr>
              <w:t>Date Ratified by Trust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4DD68649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0449C3" w:rsidRPr="009B7134" w14:paraId="187FAC8E" w14:textId="77777777" w:rsidTr="0055096F">
        <w:trPr>
          <w:jc w:val="center"/>
        </w:trPr>
        <w:tc>
          <w:tcPr>
            <w:tcW w:w="4428" w:type="dxa"/>
            <w:shd w:val="pct12" w:color="auto" w:fill="auto"/>
          </w:tcPr>
          <w:p w14:paraId="7299B8C8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4428" w:type="dxa"/>
            <w:shd w:val="pct12" w:color="auto" w:fill="auto"/>
          </w:tcPr>
          <w:p w14:paraId="0E52C5EC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0449C3" w:rsidRPr="009B7134" w14:paraId="090AD2B7" w14:textId="77777777" w:rsidTr="0055096F">
        <w:trPr>
          <w:jc w:val="center"/>
        </w:trPr>
        <w:tc>
          <w:tcPr>
            <w:tcW w:w="4428" w:type="dxa"/>
            <w:shd w:val="clear" w:color="auto" w:fill="auto"/>
          </w:tcPr>
          <w:p w14:paraId="750B7170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9228EB">
              <w:rPr>
                <w:rFonts w:ascii="Calibri" w:hAnsi="Calibri"/>
              </w:rPr>
              <w:t>Signature of CEO</w:t>
            </w:r>
          </w:p>
        </w:tc>
        <w:tc>
          <w:tcPr>
            <w:tcW w:w="4428" w:type="dxa"/>
            <w:shd w:val="clear" w:color="auto" w:fill="auto"/>
          </w:tcPr>
          <w:p w14:paraId="530BDC2F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0449C3" w:rsidRPr="009B7134" w14:paraId="6E9FA51C" w14:textId="77777777" w:rsidTr="0055096F">
        <w:trPr>
          <w:jc w:val="center"/>
        </w:trPr>
        <w:tc>
          <w:tcPr>
            <w:tcW w:w="4428" w:type="dxa"/>
            <w:shd w:val="clear" w:color="auto" w:fill="auto"/>
          </w:tcPr>
          <w:p w14:paraId="7F426F93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9228EB">
              <w:rPr>
                <w:rFonts w:ascii="Calibri" w:hAnsi="Calibri"/>
              </w:rPr>
              <w:t>Signature of Chair of Trust</w:t>
            </w:r>
          </w:p>
        </w:tc>
        <w:tc>
          <w:tcPr>
            <w:tcW w:w="4428" w:type="dxa"/>
            <w:shd w:val="clear" w:color="auto" w:fill="auto"/>
          </w:tcPr>
          <w:p w14:paraId="32BF43FA" w14:textId="77777777" w:rsidR="000449C3" w:rsidRPr="009228EB" w:rsidRDefault="000449C3" w:rsidP="0055096F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57B2FAB5" w14:textId="77777777" w:rsidR="00FE236A" w:rsidRPr="00FE236A" w:rsidRDefault="00FE236A" w:rsidP="00FE236A">
      <w:pPr>
        <w:spacing w:before="150" w:after="150"/>
        <w:rPr>
          <w:rFonts w:ascii="Gill Sans MT" w:hAnsi="Gill Sans MT" w:cs="Arial"/>
        </w:rPr>
      </w:pPr>
    </w:p>
    <w:p w14:paraId="0848E479" w14:textId="77777777" w:rsidR="00FE236A" w:rsidRPr="00FE236A" w:rsidRDefault="00FE236A" w:rsidP="00FE236A">
      <w:pPr>
        <w:spacing w:before="150" w:after="150"/>
        <w:rPr>
          <w:rFonts w:ascii="Gill Sans MT" w:hAnsi="Gill Sans MT" w:cs="Arial"/>
        </w:rPr>
      </w:pPr>
    </w:p>
    <w:p w14:paraId="6F71ACF4" w14:textId="77777777" w:rsidR="00FE236A" w:rsidRPr="00FE236A" w:rsidRDefault="00FE236A" w:rsidP="00FE236A">
      <w:pPr>
        <w:spacing w:before="150" w:after="150"/>
        <w:rPr>
          <w:rFonts w:ascii="Gill Sans MT" w:hAnsi="Gill Sans MT" w:cs="Arial"/>
        </w:rPr>
      </w:pPr>
    </w:p>
    <w:p w14:paraId="7704F2EA" w14:textId="77777777" w:rsidR="00FE236A" w:rsidRDefault="00FE236A" w:rsidP="00FE236A">
      <w:pPr>
        <w:spacing w:before="150" w:after="150"/>
        <w:rPr>
          <w:rFonts w:ascii="Gill Sans MT" w:hAnsi="Gill Sans MT" w:cs="Arial"/>
        </w:rPr>
      </w:pPr>
    </w:p>
    <w:p w14:paraId="2475E5AF" w14:textId="77777777" w:rsidR="00502E8E" w:rsidRPr="00FE236A" w:rsidRDefault="00502E8E" w:rsidP="00FE236A">
      <w:pPr>
        <w:spacing w:before="150" w:after="150"/>
        <w:rPr>
          <w:rFonts w:ascii="Gill Sans MT" w:hAnsi="Gill Sans MT" w:cs="Arial"/>
        </w:rPr>
      </w:pPr>
    </w:p>
    <w:p w14:paraId="13E7F8F7" w14:textId="77777777" w:rsidR="00FE236A" w:rsidRPr="00FE236A" w:rsidRDefault="00FE236A" w:rsidP="00FE236A">
      <w:pPr>
        <w:spacing w:before="150" w:after="150"/>
        <w:rPr>
          <w:rFonts w:ascii="Gill Sans MT" w:hAnsi="Gill Sans MT" w:cs="Arial"/>
        </w:rPr>
      </w:pPr>
    </w:p>
    <w:p w14:paraId="4546DC3E" w14:textId="77777777" w:rsidR="00FE236A" w:rsidRPr="00FE236A" w:rsidRDefault="00FE236A" w:rsidP="00FE236A">
      <w:pPr>
        <w:spacing w:before="150" w:after="150"/>
        <w:rPr>
          <w:rFonts w:ascii="Gill Sans MT" w:hAnsi="Gill Sans MT" w:cs="Arial"/>
        </w:rPr>
      </w:pPr>
    </w:p>
    <w:p w14:paraId="4A7C1F6C" w14:textId="77777777" w:rsidR="00FE236A" w:rsidRPr="00FE236A" w:rsidRDefault="00FE236A" w:rsidP="00FE236A">
      <w:pPr>
        <w:spacing w:before="150" w:after="150"/>
        <w:rPr>
          <w:rFonts w:ascii="Gill Sans MT" w:hAnsi="Gill Sans MT" w:cs="Arial"/>
        </w:rPr>
      </w:pPr>
    </w:p>
    <w:p w14:paraId="7E5DC4AA" w14:textId="77777777" w:rsidR="00D91E2E" w:rsidRDefault="00D91E2E" w:rsidP="00FE236A">
      <w:pPr>
        <w:spacing w:before="150" w:after="150"/>
        <w:rPr>
          <w:rFonts w:asciiTheme="majorHAnsi" w:hAnsiTheme="majorHAnsi" w:cs="Arial"/>
        </w:rPr>
      </w:pPr>
    </w:p>
    <w:p w14:paraId="6E4E97EE" w14:textId="77777777" w:rsidR="00D91E2E" w:rsidRDefault="00D91E2E" w:rsidP="00FE236A">
      <w:pPr>
        <w:spacing w:before="150" w:after="150"/>
        <w:rPr>
          <w:rFonts w:asciiTheme="majorHAnsi" w:hAnsiTheme="majorHAnsi" w:cs="Arial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1184275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E4FB42" w14:textId="41EB8630" w:rsidR="00D91E2E" w:rsidRPr="00595349" w:rsidRDefault="00D91E2E" w:rsidP="00D91E2E">
          <w:pPr>
            <w:pStyle w:val="TOCHeading"/>
            <w:jc w:val="center"/>
            <w:rPr>
              <w:color w:val="auto"/>
            </w:rPr>
          </w:pPr>
          <w:r w:rsidRPr="00595349">
            <w:rPr>
              <w:color w:val="auto"/>
            </w:rPr>
            <w:t>Contents</w:t>
          </w:r>
        </w:p>
        <w:p w14:paraId="087BB081" w14:textId="77777777" w:rsidR="00D91E2E" w:rsidRPr="00D91E2E" w:rsidRDefault="00D91E2E" w:rsidP="00D91E2E">
          <w:pPr>
            <w:rPr>
              <w:lang w:val="en-US"/>
            </w:rPr>
          </w:pPr>
        </w:p>
        <w:p w14:paraId="41A0DD56" w14:textId="77777777" w:rsidR="0049725F" w:rsidRPr="0049725F" w:rsidRDefault="00D91E2E">
          <w:pPr>
            <w:pStyle w:val="TOC1"/>
            <w:tabs>
              <w:tab w:val="right" w:leader="dot" w:pos="8290"/>
            </w:tabs>
            <w:rPr>
              <w:rFonts w:asciiTheme="majorHAnsi" w:eastAsiaTheme="minorEastAsia" w:hAnsiTheme="majorHAnsi"/>
              <w:noProof/>
              <w:lang w:eastAsia="en-GB"/>
            </w:rPr>
          </w:pPr>
          <w:r w:rsidRPr="00DE05A6">
            <w:rPr>
              <w:rFonts w:asciiTheme="majorHAnsi" w:hAnsiTheme="majorHAnsi"/>
            </w:rPr>
            <w:fldChar w:fldCharType="begin"/>
          </w:r>
          <w:r w:rsidRPr="00DE05A6">
            <w:rPr>
              <w:rFonts w:asciiTheme="majorHAnsi" w:hAnsiTheme="majorHAnsi"/>
            </w:rPr>
            <w:instrText xml:space="preserve"> TOC \o "1-3" \h \z \u </w:instrText>
          </w:r>
          <w:r w:rsidRPr="00DE05A6">
            <w:rPr>
              <w:rFonts w:asciiTheme="majorHAnsi" w:hAnsiTheme="majorHAnsi"/>
            </w:rPr>
            <w:fldChar w:fldCharType="separate"/>
          </w:r>
          <w:hyperlink w:anchor="_Toc423341950" w:history="1">
            <w:r w:rsidR="0049725F" w:rsidRPr="0049725F">
              <w:rPr>
                <w:rStyle w:val="Hyperlink"/>
                <w:rFonts w:asciiTheme="majorHAnsi" w:hAnsiTheme="majorHAnsi"/>
                <w:noProof/>
              </w:rPr>
              <w:t>1.0 Introduction to Continuing Professional Development (CPD)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tab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instrText xml:space="preserve"> PAGEREF _Toc423341950 \h </w:instrText>
            </w:r>
            <w:r w:rsidR="0049725F" w:rsidRPr="0049725F">
              <w:rPr>
                <w:rFonts w:asciiTheme="majorHAnsi" w:hAnsiTheme="majorHAnsi"/>
                <w:noProof/>
                <w:webHidden/>
              </w:rPr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E383A">
              <w:rPr>
                <w:rFonts w:asciiTheme="majorHAnsi" w:hAnsiTheme="majorHAnsi"/>
                <w:noProof/>
                <w:webHidden/>
              </w:rPr>
              <w:t>3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5357FDFD" w14:textId="77777777" w:rsidR="0049725F" w:rsidRPr="0049725F" w:rsidRDefault="00535F42">
          <w:pPr>
            <w:pStyle w:val="TOC1"/>
            <w:tabs>
              <w:tab w:val="right" w:leader="dot" w:pos="8290"/>
            </w:tabs>
            <w:rPr>
              <w:rFonts w:asciiTheme="majorHAnsi" w:eastAsiaTheme="minorEastAsia" w:hAnsiTheme="majorHAnsi"/>
              <w:noProof/>
              <w:lang w:eastAsia="en-GB"/>
            </w:rPr>
          </w:pPr>
          <w:hyperlink w:anchor="_Toc423341951" w:history="1">
            <w:r w:rsidR="0049725F" w:rsidRPr="0049725F">
              <w:rPr>
                <w:rStyle w:val="Hyperlink"/>
                <w:rFonts w:asciiTheme="majorHAnsi" w:hAnsiTheme="majorHAnsi"/>
                <w:noProof/>
              </w:rPr>
              <w:t>2.0 CPD Provision and Entitlement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tab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instrText xml:space="preserve"> PAGEREF _Toc423341951 \h </w:instrText>
            </w:r>
            <w:r w:rsidR="0049725F" w:rsidRPr="0049725F">
              <w:rPr>
                <w:rFonts w:asciiTheme="majorHAnsi" w:hAnsiTheme="majorHAnsi"/>
                <w:noProof/>
                <w:webHidden/>
              </w:rPr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E383A">
              <w:rPr>
                <w:rFonts w:asciiTheme="majorHAnsi" w:hAnsiTheme="majorHAnsi"/>
                <w:noProof/>
                <w:webHidden/>
              </w:rPr>
              <w:t>3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71B7B344" w14:textId="77777777" w:rsidR="0049725F" w:rsidRPr="0049725F" w:rsidRDefault="00535F42">
          <w:pPr>
            <w:pStyle w:val="TOC1"/>
            <w:tabs>
              <w:tab w:val="right" w:leader="dot" w:pos="8290"/>
            </w:tabs>
            <w:rPr>
              <w:rFonts w:asciiTheme="majorHAnsi" w:eastAsiaTheme="minorEastAsia" w:hAnsiTheme="majorHAnsi"/>
              <w:noProof/>
              <w:lang w:eastAsia="en-GB"/>
            </w:rPr>
          </w:pPr>
          <w:hyperlink w:anchor="_Toc423341952" w:history="1">
            <w:r w:rsidR="0049725F" w:rsidRPr="0049725F">
              <w:rPr>
                <w:rStyle w:val="Hyperlink"/>
                <w:rFonts w:asciiTheme="majorHAnsi" w:hAnsiTheme="majorHAnsi"/>
                <w:noProof/>
              </w:rPr>
              <w:t>3.0 CPD Leader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tab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instrText xml:space="preserve"> PAGEREF _Toc423341952 \h </w:instrText>
            </w:r>
            <w:r w:rsidR="0049725F" w:rsidRPr="0049725F">
              <w:rPr>
                <w:rFonts w:asciiTheme="majorHAnsi" w:hAnsiTheme="majorHAnsi"/>
                <w:noProof/>
                <w:webHidden/>
              </w:rPr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E383A">
              <w:rPr>
                <w:rFonts w:asciiTheme="majorHAnsi" w:hAnsiTheme="majorHAnsi"/>
                <w:noProof/>
                <w:webHidden/>
              </w:rPr>
              <w:t>3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2F65282C" w14:textId="77777777" w:rsidR="0049725F" w:rsidRPr="0049725F" w:rsidRDefault="00535F42">
          <w:pPr>
            <w:pStyle w:val="TOC1"/>
            <w:tabs>
              <w:tab w:val="right" w:leader="dot" w:pos="8290"/>
            </w:tabs>
            <w:rPr>
              <w:rFonts w:asciiTheme="majorHAnsi" w:eastAsiaTheme="minorEastAsia" w:hAnsiTheme="majorHAnsi"/>
              <w:noProof/>
              <w:lang w:eastAsia="en-GB"/>
            </w:rPr>
          </w:pPr>
          <w:hyperlink w:anchor="_Toc423341953" w:history="1">
            <w:r w:rsidR="0049725F" w:rsidRPr="0049725F">
              <w:rPr>
                <w:rStyle w:val="Hyperlink"/>
                <w:rFonts w:asciiTheme="majorHAnsi" w:hAnsiTheme="majorHAnsi"/>
                <w:noProof/>
              </w:rPr>
              <w:t>4.0 CPD Provision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tab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instrText xml:space="preserve"> PAGEREF _Toc423341953 \h </w:instrText>
            </w:r>
            <w:r w:rsidR="0049725F" w:rsidRPr="0049725F">
              <w:rPr>
                <w:rFonts w:asciiTheme="majorHAnsi" w:hAnsiTheme="majorHAnsi"/>
                <w:noProof/>
                <w:webHidden/>
              </w:rPr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E383A">
              <w:rPr>
                <w:rFonts w:asciiTheme="majorHAnsi" w:hAnsiTheme="majorHAnsi"/>
                <w:noProof/>
                <w:webHidden/>
              </w:rPr>
              <w:t>3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56C2EC2F" w14:textId="77777777" w:rsidR="0049725F" w:rsidRDefault="00535F42">
          <w:pPr>
            <w:pStyle w:val="TOC1"/>
            <w:tabs>
              <w:tab w:val="right" w:leader="dot" w:pos="8290"/>
            </w:tabs>
            <w:rPr>
              <w:rFonts w:eastAsiaTheme="minorEastAsia"/>
              <w:noProof/>
              <w:lang w:eastAsia="en-GB"/>
            </w:rPr>
          </w:pPr>
          <w:hyperlink w:anchor="_Toc423341954" w:history="1">
            <w:r w:rsidR="0049725F" w:rsidRPr="0049725F">
              <w:rPr>
                <w:rStyle w:val="Hyperlink"/>
                <w:rFonts w:asciiTheme="majorHAnsi" w:hAnsiTheme="majorHAnsi"/>
                <w:noProof/>
              </w:rPr>
              <w:t>5.0 Accreditation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tab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instrText xml:space="preserve"> PAGEREF _Toc423341954 \h </w:instrText>
            </w:r>
            <w:r w:rsidR="0049725F" w:rsidRPr="0049725F">
              <w:rPr>
                <w:rFonts w:asciiTheme="majorHAnsi" w:hAnsiTheme="majorHAnsi"/>
                <w:noProof/>
                <w:webHidden/>
              </w:rPr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8E383A">
              <w:rPr>
                <w:rFonts w:asciiTheme="majorHAnsi" w:hAnsiTheme="majorHAnsi"/>
                <w:noProof/>
                <w:webHidden/>
              </w:rPr>
              <w:t>4</w:t>
            </w:r>
            <w:r w:rsidR="0049725F" w:rsidRPr="0049725F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1B880FF6" w14:textId="45EA2072" w:rsidR="00D91E2E" w:rsidRPr="00DE05A6" w:rsidRDefault="00D91E2E">
          <w:pPr>
            <w:rPr>
              <w:rFonts w:asciiTheme="majorHAnsi" w:hAnsiTheme="majorHAnsi"/>
            </w:rPr>
          </w:pPr>
          <w:r w:rsidRPr="00DE05A6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58276E22" w14:textId="77777777" w:rsidR="00D91E2E" w:rsidRPr="00502E8E" w:rsidRDefault="00D91E2E" w:rsidP="00FE236A">
      <w:pPr>
        <w:spacing w:before="150" w:after="150"/>
        <w:rPr>
          <w:rFonts w:asciiTheme="majorHAnsi" w:hAnsiTheme="majorHAnsi" w:cs="Arial"/>
        </w:rPr>
      </w:pPr>
    </w:p>
    <w:p w14:paraId="6751E494" w14:textId="47AD025B" w:rsidR="00350374" w:rsidRPr="00502E8E" w:rsidRDefault="00350374" w:rsidP="00502E8E">
      <w:pPr>
        <w:rPr>
          <w:rFonts w:asciiTheme="majorHAnsi" w:hAnsiTheme="majorHAnsi"/>
        </w:rPr>
      </w:pPr>
    </w:p>
    <w:p w14:paraId="4113CF14" w14:textId="77777777" w:rsidR="003D687D" w:rsidRDefault="003D687D" w:rsidP="001936A6">
      <w:pPr>
        <w:rPr>
          <w:rFonts w:asciiTheme="majorHAnsi" w:hAnsiTheme="majorHAnsi"/>
        </w:rPr>
      </w:pPr>
    </w:p>
    <w:p w14:paraId="7D8EC4C1" w14:textId="77777777" w:rsidR="00D91E2E" w:rsidRDefault="00D91E2E" w:rsidP="001936A6">
      <w:pPr>
        <w:rPr>
          <w:rFonts w:asciiTheme="majorHAnsi" w:hAnsiTheme="majorHAnsi"/>
        </w:rPr>
      </w:pPr>
    </w:p>
    <w:p w14:paraId="3F1991B1" w14:textId="77777777" w:rsidR="00D91E2E" w:rsidRDefault="00D91E2E" w:rsidP="001936A6">
      <w:pPr>
        <w:rPr>
          <w:rFonts w:asciiTheme="majorHAnsi" w:hAnsiTheme="majorHAnsi"/>
        </w:rPr>
      </w:pPr>
    </w:p>
    <w:p w14:paraId="52F706B2" w14:textId="77777777" w:rsidR="00D91E2E" w:rsidRDefault="00D91E2E" w:rsidP="001936A6">
      <w:pPr>
        <w:rPr>
          <w:rFonts w:asciiTheme="majorHAnsi" w:hAnsiTheme="majorHAnsi"/>
        </w:rPr>
      </w:pPr>
    </w:p>
    <w:p w14:paraId="69C8BADF" w14:textId="77777777" w:rsidR="00D91E2E" w:rsidRDefault="00D91E2E" w:rsidP="001936A6">
      <w:pPr>
        <w:rPr>
          <w:rFonts w:asciiTheme="majorHAnsi" w:hAnsiTheme="majorHAnsi"/>
        </w:rPr>
      </w:pPr>
    </w:p>
    <w:p w14:paraId="54B5DF8B" w14:textId="77777777" w:rsidR="00D91E2E" w:rsidRDefault="00D91E2E" w:rsidP="001936A6">
      <w:pPr>
        <w:rPr>
          <w:rFonts w:asciiTheme="majorHAnsi" w:hAnsiTheme="majorHAnsi"/>
        </w:rPr>
      </w:pPr>
    </w:p>
    <w:p w14:paraId="604DABDD" w14:textId="77777777" w:rsidR="00D91E2E" w:rsidRDefault="00D91E2E" w:rsidP="001936A6">
      <w:pPr>
        <w:rPr>
          <w:rFonts w:asciiTheme="majorHAnsi" w:hAnsiTheme="majorHAnsi"/>
        </w:rPr>
      </w:pPr>
    </w:p>
    <w:p w14:paraId="1EC72B5B" w14:textId="77777777" w:rsidR="00D91E2E" w:rsidRDefault="00D91E2E" w:rsidP="001936A6">
      <w:pPr>
        <w:rPr>
          <w:rFonts w:asciiTheme="majorHAnsi" w:hAnsiTheme="majorHAnsi"/>
        </w:rPr>
      </w:pPr>
    </w:p>
    <w:p w14:paraId="470AA05F" w14:textId="77777777" w:rsidR="0049725F" w:rsidRDefault="0049725F" w:rsidP="001936A6">
      <w:pPr>
        <w:rPr>
          <w:rFonts w:asciiTheme="majorHAnsi" w:hAnsiTheme="majorHAnsi"/>
        </w:rPr>
      </w:pPr>
    </w:p>
    <w:p w14:paraId="59D71561" w14:textId="77777777" w:rsidR="00D91E2E" w:rsidRDefault="00D91E2E" w:rsidP="001936A6">
      <w:pPr>
        <w:rPr>
          <w:rFonts w:asciiTheme="majorHAnsi" w:hAnsiTheme="majorHAnsi"/>
        </w:rPr>
      </w:pPr>
    </w:p>
    <w:p w14:paraId="2B5C037B" w14:textId="77777777" w:rsidR="00D91E2E" w:rsidRDefault="00D91E2E" w:rsidP="001936A6">
      <w:pPr>
        <w:rPr>
          <w:rFonts w:asciiTheme="majorHAnsi" w:hAnsiTheme="majorHAnsi"/>
        </w:rPr>
      </w:pPr>
    </w:p>
    <w:p w14:paraId="03FE45FA" w14:textId="77777777" w:rsidR="00D91E2E" w:rsidRDefault="00D91E2E" w:rsidP="001936A6">
      <w:pPr>
        <w:rPr>
          <w:rFonts w:asciiTheme="majorHAnsi" w:hAnsiTheme="majorHAnsi"/>
        </w:rPr>
      </w:pPr>
    </w:p>
    <w:p w14:paraId="4CCF3574" w14:textId="77777777" w:rsidR="00D91E2E" w:rsidRDefault="00D91E2E" w:rsidP="001936A6">
      <w:pPr>
        <w:rPr>
          <w:rFonts w:asciiTheme="majorHAnsi" w:hAnsiTheme="majorHAnsi"/>
        </w:rPr>
      </w:pPr>
    </w:p>
    <w:p w14:paraId="44426E5E" w14:textId="77777777" w:rsidR="00D91E2E" w:rsidRDefault="00D91E2E" w:rsidP="001936A6">
      <w:pPr>
        <w:rPr>
          <w:rFonts w:asciiTheme="majorHAnsi" w:hAnsiTheme="majorHAnsi"/>
        </w:rPr>
      </w:pPr>
    </w:p>
    <w:p w14:paraId="4390F413" w14:textId="77777777" w:rsidR="00D91E2E" w:rsidRDefault="00D91E2E" w:rsidP="001936A6">
      <w:pPr>
        <w:rPr>
          <w:rFonts w:asciiTheme="majorHAnsi" w:hAnsiTheme="majorHAnsi"/>
        </w:rPr>
      </w:pPr>
    </w:p>
    <w:p w14:paraId="2AF05445" w14:textId="77777777" w:rsidR="00D91E2E" w:rsidRDefault="00D91E2E" w:rsidP="001936A6">
      <w:pPr>
        <w:rPr>
          <w:rFonts w:asciiTheme="majorHAnsi" w:hAnsiTheme="majorHAnsi"/>
        </w:rPr>
      </w:pPr>
    </w:p>
    <w:p w14:paraId="60DDACF6" w14:textId="77777777" w:rsidR="00D91E2E" w:rsidRDefault="00D91E2E" w:rsidP="001936A6">
      <w:pPr>
        <w:rPr>
          <w:rFonts w:asciiTheme="majorHAnsi" w:hAnsiTheme="majorHAnsi"/>
        </w:rPr>
      </w:pPr>
    </w:p>
    <w:p w14:paraId="334147AA" w14:textId="77777777" w:rsidR="00D91E2E" w:rsidRDefault="00D91E2E" w:rsidP="001936A6">
      <w:pPr>
        <w:rPr>
          <w:rFonts w:asciiTheme="majorHAnsi" w:hAnsiTheme="majorHAnsi"/>
        </w:rPr>
      </w:pPr>
    </w:p>
    <w:p w14:paraId="6A67069E" w14:textId="77777777" w:rsidR="00D91E2E" w:rsidRDefault="00D91E2E" w:rsidP="001936A6">
      <w:pPr>
        <w:rPr>
          <w:rFonts w:asciiTheme="majorHAnsi" w:hAnsiTheme="majorHAnsi"/>
        </w:rPr>
      </w:pPr>
    </w:p>
    <w:p w14:paraId="0D75CEA4" w14:textId="77777777" w:rsidR="00D91E2E" w:rsidRDefault="00D91E2E" w:rsidP="001936A6">
      <w:pPr>
        <w:rPr>
          <w:rFonts w:asciiTheme="majorHAnsi" w:hAnsiTheme="majorHAnsi"/>
        </w:rPr>
      </w:pPr>
    </w:p>
    <w:p w14:paraId="7B852AFD" w14:textId="77777777" w:rsidR="00D91E2E" w:rsidRDefault="00D91E2E" w:rsidP="001936A6">
      <w:pPr>
        <w:rPr>
          <w:rFonts w:asciiTheme="majorHAnsi" w:hAnsiTheme="majorHAnsi"/>
        </w:rPr>
      </w:pPr>
    </w:p>
    <w:p w14:paraId="3ECF1BB4" w14:textId="77777777" w:rsidR="00D91E2E" w:rsidRDefault="00D91E2E" w:rsidP="001936A6">
      <w:pPr>
        <w:rPr>
          <w:rFonts w:asciiTheme="majorHAnsi" w:hAnsiTheme="majorHAnsi"/>
        </w:rPr>
      </w:pPr>
    </w:p>
    <w:p w14:paraId="2A66A288" w14:textId="77777777" w:rsidR="00D91E2E" w:rsidRDefault="00D91E2E" w:rsidP="001936A6">
      <w:pPr>
        <w:rPr>
          <w:rFonts w:asciiTheme="majorHAnsi" w:hAnsiTheme="majorHAnsi"/>
        </w:rPr>
      </w:pPr>
    </w:p>
    <w:p w14:paraId="3E760297" w14:textId="77777777" w:rsidR="00D91E2E" w:rsidRDefault="00D91E2E" w:rsidP="001936A6">
      <w:pPr>
        <w:rPr>
          <w:rFonts w:asciiTheme="majorHAnsi" w:hAnsiTheme="majorHAnsi"/>
        </w:rPr>
      </w:pPr>
    </w:p>
    <w:p w14:paraId="504E23C3" w14:textId="77777777" w:rsidR="00D91E2E" w:rsidRDefault="00D91E2E" w:rsidP="001936A6">
      <w:pPr>
        <w:rPr>
          <w:rFonts w:asciiTheme="majorHAnsi" w:hAnsiTheme="majorHAnsi"/>
        </w:rPr>
      </w:pPr>
    </w:p>
    <w:p w14:paraId="60BEBF90" w14:textId="77777777" w:rsidR="00D91E2E" w:rsidRDefault="00D91E2E" w:rsidP="001936A6">
      <w:pPr>
        <w:rPr>
          <w:rFonts w:asciiTheme="majorHAnsi" w:hAnsiTheme="majorHAnsi"/>
        </w:rPr>
      </w:pPr>
    </w:p>
    <w:p w14:paraId="10C7DB58" w14:textId="77777777" w:rsidR="00D91E2E" w:rsidRDefault="00D91E2E" w:rsidP="001936A6">
      <w:pPr>
        <w:rPr>
          <w:rFonts w:asciiTheme="majorHAnsi" w:hAnsiTheme="majorHAnsi"/>
        </w:rPr>
      </w:pPr>
    </w:p>
    <w:p w14:paraId="5E368540" w14:textId="77777777" w:rsidR="00D91E2E" w:rsidRDefault="00D91E2E" w:rsidP="001936A6">
      <w:pPr>
        <w:rPr>
          <w:rFonts w:asciiTheme="majorHAnsi" w:hAnsiTheme="majorHAnsi"/>
        </w:rPr>
      </w:pPr>
    </w:p>
    <w:p w14:paraId="6CA2D09F" w14:textId="77777777" w:rsidR="00D91E2E" w:rsidRDefault="00D91E2E" w:rsidP="001936A6">
      <w:pPr>
        <w:rPr>
          <w:rFonts w:asciiTheme="majorHAnsi" w:hAnsiTheme="majorHAnsi"/>
        </w:rPr>
      </w:pPr>
    </w:p>
    <w:p w14:paraId="3D2A64F0" w14:textId="77777777" w:rsidR="00D91E2E" w:rsidRDefault="00D91E2E" w:rsidP="001936A6">
      <w:pPr>
        <w:rPr>
          <w:rFonts w:asciiTheme="majorHAnsi" w:hAnsiTheme="majorHAnsi"/>
        </w:rPr>
      </w:pPr>
    </w:p>
    <w:p w14:paraId="1E6F2AB9" w14:textId="77777777" w:rsidR="00D91E2E" w:rsidRDefault="00D91E2E" w:rsidP="001936A6">
      <w:pPr>
        <w:rPr>
          <w:rFonts w:asciiTheme="majorHAnsi" w:hAnsiTheme="majorHAnsi"/>
        </w:rPr>
      </w:pPr>
    </w:p>
    <w:p w14:paraId="29C6C563" w14:textId="77777777" w:rsidR="00D91E2E" w:rsidRDefault="00D91E2E" w:rsidP="001936A6">
      <w:pPr>
        <w:rPr>
          <w:rFonts w:asciiTheme="majorHAnsi" w:hAnsiTheme="majorHAnsi"/>
        </w:rPr>
      </w:pPr>
    </w:p>
    <w:p w14:paraId="498F3A0F" w14:textId="77777777" w:rsidR="00D91E2E" w:rsidRDefault="00D91E2E" w:rsidP="001936A6">
      <w:pPr>
        <w:rPr>
          <w:rFonts w:asciiTheme="majorHAnsi" w:hAnsiTheme="majorHAnsi"/>
        </w:rPr>
      </w:pPr>
    </w:p>
    <w:p w14:paraId="16B33C26" w14:textId="77777777" w:rsidR="00D91E2E" w:rsidRPr="00502E8E" w:rsidRDefault="00D91E2E" w:rsidP="001936A6">
      <w:pPr>
        <w:rPr>
          <w:rFonts w:asciiTheme="majorHAnsi" w:hAnsiTheme="majorHAnsi"/>
        </w:rPr>
      </w:pPr>
    </w:p>
    <w:p w14:paraId="2FFC0331" w14:textId="77777777" w:rsidR="003D687D" w:rsidRPr="00502E8E" w:rsidRDefault="003D687D" w:rsidP="001936A6">
      <w:pPr>
        <w:rPr>
          <w:rFonts w:asciiTheme="majorHAnsi" w:hAnsiTheme="majorHAnsi"/>
        </w:rPr>
      </w:pPr>
    </w:p>
    <w:p w14:paraId="1D531007" w14:textId="77777777" w:rsidR="001936A6" w:rsidRPr="00595349" w:rsidRDefault="001936A6" w:rsidP="001936A6">
      <w:pPr>
        <w:pStyle w:val="Heading1"/>
        <w:rPr>
          <w:color w:val="auto"/>
          <w:sz w:val="28"/>
        </w:rPr>
      </w:pPr>
      <w:bookmarkStart w:id="1" w:name="_Toc269620267"/>
      <w:bookmarkStart w:id="2" w:name="_Toc423341950"/>
      <w:r w:rsidRPr="00595349">
        <w:rPr>
          <w:color w:val="auto"/>
          <w:sz w:val="28"/>
        </w:rPr>
        <w:lastRenderedPageBreak/>
        <w:t>1.0 Introduction to Continuing Professional Development (CPD)</w:t>
      </w:r>
      <w:bookmarkEnd w:id="1"/>
      <w:bookmarkEnd w:id="2"/>
    </w:p>
    <w:p w14:paraId="5F40838A" w14:textId="77777777" w:rsidR="002629CC" w:rsidRPr="00502E8E" w:rsidRDefault="002629CC" w:rsidP="002629CC">
      <w:pPr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53C62C16" w14:textId="3B28AAEC" w:rsidR="00BE59C6" w:rsidRPr="007428C6" w:rsidRDefault="007428C6" w:rsidP="007428C6">
      <w:pPr>
        <w:pStyle w:val="NoSpacing"/>
        <w:rPr>
          <w:rFonts w:asciiTheme="majorHAnsi" w:hAnsiTheme="majorHAnsi"/>
        </w:rPr>
      </w:pPr>
      <w:r w:rsidRPr="007428C6">
        <w:rPr>
          <w:rFonts w:asciiTheme="majorHAnsi" w:hAnsiTheme="majorHAnsi"/>
        </w:rPr>
        <w:t>The Trust</w:t>
      </w:r>
      <w:r w:rsidR="00025108">
        <w:rPr>
          <w:rFonts w:asciiTheme="majorHAnsi" w:hAnsiTheme="majorHAnsi"/>
        </w:rPr>
        <w:t xml:space="preserve"> is a ‘learning community’</w:t>
      </w:r>
      <w:r w:rsidR="00BE59C6" w:rsidRPr="007428C6">
        <w:rPr>
          <w:rFonts w:asciiTheme="majorHAnsi" w:hAnsiTheme="majorHAnsi"/>
        </w:rPr>
        <w:t xml:space="preserve"> where all </w:t>
      </w:r>
      <w:r w:rsidR="008E10A8" w:rsidRPr="007428C6">
        <w:rPr>
          <w:rFonts w:asciiTheme="majorHAnsi" w:hAnsiTheme="majorHAnsi"/>
        </w:rPr>
        <w:t xml:space="preserve">staff </w:t>
      </w:r>
      <w:r w:rsidR="00BE59C6" w:rsidRPr="007428C6">
        <w:rPr>
          <w:rFonts w:asciiTheme="majorHAnsi" w:hAnsiTheme="majorHAnsi"/>
        </w:rPr>
        <w:t>are involved in a continuous process of improvement and enrichment. It is committed to fostering a positive climate for continuous learning and believes that a coherent and progressive opportunity to develop pro</w:t>
      </w:r>
      <w:r w:rsidR="00025108">
        <w:rPr>
          <w:rFonts w:asciiTheme="majorHAnsi" w:hAnsiTheme="majorHAnsi"/>
        </w:rPr>
        <w:t>fessionally and personally,</w:t>
      </w:r>
      <w:r w:rsidR="00BE59C6" w:rsidRPr="007428C6">
        <w:rPr>
          <w:rFonts w:asciiTheme="majorHAnsi" w:hAnsiTheme="majorHAnsi"/>
        </w:rPr>
        <w:t xml:space="preserve"> improves standards, raises morale through personal and professional fulfilment</w:t>
      </w:r>
      <w:r w:rsidR="008E10A8" w:rsidRPr="007428C6">
        <w:rPr>
          <w:rFonts w:asciiTheme="majorHAnsi" w:hAnsiTheme="majorHAnsi"/>
        </w:rPr>
        <w:t>,</w:t>
      </w:r>
      <w:r w:rsidR="00BE59C6" w:rsidRPr="007428C6">
        <w:rPr>
          <w:rFonts w:asciiTheme="majorHAnsi" w:hAnsiTheme="majorHAnsi"/>
        </w:rPr>
        <w:t xml:space="preserve"> and ass</w:t>
      </w:r>
      <w:r w:rsidR="006265CF" w:rsidRPr="007428C6">
        <w:rPr>
          <w:rFonts w:asciiTheme="majorHAnsi" w:hAnsiTheme="majorHAnsi"/>
        </w:rPr>
        <w:t>ists recruitment and retention.</w:t>
      </w:r>
    </w:p>
    <w:p w14:paraId="23F39BB4" w14:textId="2BBB3FDF" w:rsidR="0013069A" w:rsidRPr="00595349" w:rsidRDefault="004063C7" w:rsidP="0013069A">
      <w:pPr>
        <w:pStyle w:val="Heading1"/>
        <w:rPr>
          <w:color w:val="auto"/>
          <w:sz w:val="28"/>
        </w:rPr>
      </w:pPr>
      <w:bookmarkStart w:id="3" w:name="_Toc269620269"/>
      <w:bookmarkStart w:id="4" w:name="_Toc423341951"/>
      <w:r w:rsidRPr="00595349">
        <w:rPr>
          <w:color w:val="auto"/>
          <w:sz w:val="28"/>
        </w:rPr>
        <w:t xml:space="preserve">2.0 </w:t>
      </w:r>
      <w:bookmarkEnd w:id="3"/>
      <w:r w:rsidRPr="00595349">
        <w:rPr>
          <w:color w:val="auto"/>
          <w:sz w:val="28"/>
        </w:rPr>
        <w:t>CPD</w:t>
      </w:r>
      <w:r w:rsidR="0086267A" w:rsidRPr="00595349">
        <w:rPr>
          <w:color w:val="auto"/>
          <w:sz w:val="28"/>
        </w:rPr>
        <w:t xml:space="preserve"> Provision and Entitlement</w:t>
      </w:r>
      <w:bookmarkEnd w:id="4"/>
    </w:p>
    <w:p w14:paraId="6FAA816F" w14:textId="77777777" w:rsidR="008F052D" w:rsidRPr="00502E8E" w:rsidRDefault="008F052D" w:rsidP="00E512C7">
      <w:pPr>
        <w:rPr>
          <w:rFonts w:asciiTheme="majorHAnsi" w:hAnsiTheme="majorHAnsi" w:cs="Humanist777BT-RomanB"/>
          <w:szCs w:val="20"/>
        </w:rPr>
      </w:pPr>
    </w:p>
    <w:p w14:paraId="7B3479D4" w14:textId="47436AB7" w:rsidR="008F052D" w:rsidRPr="0086267A" w:rsidRDefault="007428C6" w:rsidP="0086267A">
      <w:pPr>
        <w:pStyle w:val="NoSpacing"/>
        <w:rPr>
          <w:rFonts w:asciiTheme="majorHAnsi" w:hAnsiTheme="majorHAnsi"/>
        </w:rPr>
      </w:pPr>
      <w:r>
        <w:rPr>
          <w:rFonts w:asciiTheme="majorHAnsi" w:hAnsiTheme="majorHAnsi" w:cs="Humanist777BT-RomanB"/>
          <w:szCs w:val="20"/>
        </w:rPr>
        <w:t>The CPD provision across the Trust</w:t>
      </w:r>
      <w:r w:rsidR="00AE6866" w:rsidRPr="00502E8E">
        <w:rPr>
          <w:rFonts w:asciiTheme="majorHAnsi" w:hAnsiTheme="majorHAnsi" w:cs="Humanist777BT-RomanB"/>
          <w:szCs w:val="20"/>
        </w:rPr>
        <w:t xml:space="preserve"> </w:t>
      </w:r>
      <w:r w:rsidR="0086267A">
        <w:rPr>
          <w:rFonts w:asciiTheme="majorHAnsi" w:hAnsiTheme="majorHAnsi" w:cs="Humanist777BT-RomanB"/>
          <w:szCs w:val="20"/>
        </w:rPr>
        <w:t>allows</w:t>
      </w:r>
      <w:r w:rsidR="00AE6866" w:rsidRPr="00502E8E">
        <w:rPr>
          <w:rFonts w:asciiTheme="majorHAnsi" w:hAnsiTheme="majorHAnsi" w:cs="Humanist777BT-RomanB"/>
          <w:szCs w:val="20"/>
        </w:rPr>
        <w:t xml:space="preserve"> </w:t>
      </w:r>
      <w:r w:rsidR="007B54DF" w:rsidRPr="00502E8E">
        <w:rPr>
          <w:rFonts w:asciiTheme="majorHAnsi" w:hAnsiTheme="majorHAnsi" w:cs="Humanist777BT-RomanB"/>
          <w:szCs w:val="20"/>
        </w:rPr>
        <w:t>staff to access CPD which is not only suitable and appropriate t</w:t>
      </w:r>
      <w:r w:rsidR="004063C7">
        <w:rPr>
          <w:rFonts w:asciiTheme="majorHAnsi" w:hAnsiTheme="majorHAnsi" w:cs="Humanist777BT-RomanB"/>
          <w:szCs w:val="20"/>
        </w:rPr>
        <w:t>o their level of experience,</w:t>
      </w:r>
      <w:r w:rsidR="00760451" w:rsidRPr="00502E8E">
        <w:rPr>
          <w:rFonts w:asciiTheme="majorHAnsi" w:hAnsiTheme="majorHAnsi" w:cs="Humanist777BT-RomanB"/>
          <w:szCs w:val="20"/>
        </w:rPr>
        <w:t xml:space="preserve"> </w:t>
      </w:r>
      <w:r w:rsidR="007B54DF" w:rsidRPr="00502E8E">
        <w:rPr>
          <w:rFonts w:asciiTheme="majorHAnsi" w:hAnsiTheme="majorHAnsi" w:cs="Humanist777BT-RomanB"/>
          <w:szCs w:val="20"/>
        </w:rPr>
        <w:t>job role and responsibilities</w:t>
      </w:r>
      <w:r w:rsidR="00760451" w:rsidRPr="00502E8E">
        <w:rPr>
          <w:rFonts w:asciiTheme="majorHAnsi" w:hAnsiTheme="majorHAnsi" w:cs="Humanist777BT-RomanB"/>
          <w:szCs w:val="20"/>
        </w:rPr>
        <w:t>,</w:t>
      </w:r>
      <w:r w:rsidR="007B54DF" w:rsidRPr="00502E8E">
        <w:rPr>
          <w:rFonts w:asciiTheme="majorHAnsi" w:hAnsiTheme="majorHAnsi" w:cs="Humanist777BT-RomanB"/>
          <w:szCs w:val="20"/>
        </w:rPr>
        <w:t xml:space="preserve"> but also p</w:t>
      </w:r>
      <w:r w:rsidR="00760451" w:rsidRPr="00502E8E">
        <w:rPr>
          <w:rFonts w:asciiTheme="majorHAnsi" w:hAnsiTheme="majorHAnsi" w:cs="Humanist777BT-RomanB"/>
          <w:szCs w:val="20"/>
        </w:rPr>
        <w:t>rovides opportunities to satisf</w:t>
      </w:r>
      <w:r>
        <w:rPr>
          <w:rFonts w:asciiTheme="majorHAnsi" w:hAnsiTheme="majorHAnsi" w:cs="Humanist777BT-RomanB"/>
          <w:szCs w:val="20"/>
        </w:rPr>
        <w:t>y their performance management</w:t>
      </w:r>
      <w:r w:rsidR="004063C7">
        <w:rPr>
          <w:rFonts w:asciiTheme="majorHAnsi" w:hAnsiTheme="majorHAnsi" w:cs="Humanist777BT-RomanB"/>
          <w:szCs w:val="20"/>
        </w:rPr>
        <w:t xml:space="preserve"> </w:t>
      </w:r>
      <w:r>
        <w:rPr>
          <w:rFonts w:asciiTheme="majorHAnsi" w:hAnsiTheme="majorHAnsi" w:cs="Humanist777BT-RomanB"/>
          <w:szCs w:val="20"/>
        </w:rPr>
        <w:t xml:space="preserve">objectives.  </w:t>
      </w:r>
    </w:p>
    <w:p w14:paraId="6A0F4B78" w14:textId="3E1F9D59" w:rsidR="0013069A" w:rsidRPr="004063C7" w:rsidRDefault="0032668B" w:rsidP="0013069A">
      <w:pPr>
        <w:rPr>
          <w:rFonts w:asciiTheme="majorHAnsi" w:hAnsiTheme="majorHAnsi" w:cs="Humanist777BT-RomanB"/>
          <w:szCs w:val="20"/>
        </w:rPr>
      </w:pPr>
      <w:r w:rsidRPr="00502E8E">
        <w:rPr>
          <w:rFonts w:asciiTheme="majorHAnsi" w:hAnsiTheme="majorHAnsi" w:cs="Humanist777BT-RomanB"/>
          <w:szCs w:val="20"/>
        </w:rPr>
        <w:t xml:space="preserve"> </w:t>
      </w:r>
    </w:p>
    <w:p w14:paraId="736C90DB" w14:textId="1BA7ED9A" w:rsidR="00E55924" w:rsidRPr="00502E8E" w:rsidRDefault="007428C6" w:rsidP="0013069A">
      <w:pPr>
        <w:rPr>
          <w:rFonts w:asciiTheme="majorHAnsi" w:hAnsiTheme="majorHAnsi" w:cs="Humanist777BT-RomanB"/>
        </w:rPr>
      </w:pPr>
      <w:r>
        <w:rPr>
          <w:rFonts w:asciiTheme="majorHAnsi" w:hAnsiTheme="majorHAnsi" w:cs="Humanist777BT-RomanB"/>
        </w:rPr>
        <w:t xml:space="preserve">All staff will be entitled to CPD provision in line with the Trust’s Equality Policy. </w:t>
      </w:r>
    </w:p>
    <w:p w14:paraId="0ED8E121" w14:textId="4D41D22A" w:rsidR="0013069A" w:rsidRPr="00595349" w:rsidRDefault="004063C7" w:rsidP="0013069A">
      <w:pPr>
        <w:pStyle w:val="Heading1"/>
        <w:rPr>
          <w:color w:val="auto"/>
          <w:sz w:val="28"/>
        </w:rPr>
      </w:pPr>
      <w:bookmarkStart w:id="5" w:name="_Toc269620272"/>
      <w:bookmarkStart w:id="6" w:name="_Toc423341952"/>
      <w:r w:rsidRPr="00595349">
        <w:rPr>
          <w:color w:val="auto"/>
          <w:sz w:val="28"/>
        </w:rPr>
        <w:t>3</w:t>
      </w:r>
      <w:r w:rsidR="0013069A" w:rsidRPr="00595349">
        <w:rPr>
          <w:color w:val="auto"/>
          <w:sz w:val="28"/>
        </w:rPr>
        <w:t>.0 CPD Lead</w:t>
      </w:r>
      <w:bookmarkEnd w:id="5"/>
      <w:bookmarkEnd w:id="6"/>
    </w:p>
    <w:p w14:paraId="314173ED" w14:textId="77777777" w:rsidR="0013069A" w:rsidRPr="00502E8E" w:rsidRDefault="0013069A" w:rsidP="0013069A">
      <w:pPr>
        <w:rPr>
          <w:rFonts w:asciiTheme="majorHAnsi" w:hAnsiTheme="majorHAnsi"/>
        </w:rPr>
      </w:pPr>
    </w:p>
    <w:p w14:paraId="37090E46" w14:textId="0D318204" w:rsidR="0013069A" w:rsidRPr="00502E8E" w:rsidRDefault="002C117E" w:rsidP="0013069A">
      <w:pPr>
        <w:rPr>
          <w:rFonts w:asciiTheme="majorHAnsi" w:hAnsiTheme="majorHAnsi"/>
        </w:rPr>
      </w:pPr>
      <w:r>
        <w:rPr>
          <w:rFonts w:asciiTheme="majorHAnsi" w:hAnsiTheme="majorHAnsi"/>
        </w:rPr>
        <w:t>Each constituent academy will have a CPD Lead</w:t>
      </w:r>
      <w:r w:rsidR="00595349">
        <w:rPr>
          <w:rFonts w:asciiTheme="majorHAnsi" w:hAnsiTheme="majorHAnsi"/>
        </w:rPr>
        <w:t xml:space="preserve"> </w:t>
      </w:r>
      <w:r w:rsidR="0013069A" w:rsidRPr="00502E8E">
        <w:rPr>
          <w:rFonts w:asciiTheme="majorHAnsi" w:hAnsiTheme="majorHAnsi"/>
        </w:rPr>
        <w:t>who is responsible for:</w:t>
      </w:r>
    </w:p>
    <w:p w14:paraId="717553FA" w14:textId="77777777" w:rsidR="0013069A" w:rsidRPr="00502E8E" w:rsidRDefault="0013069A" w:rsidP="0013069A">
      <w:pPr>
        <w:rPr>
          <w:rFonts w:asciiTheme="majorHAnsi" w:hAnsiTheme="majorHAnsi" w:cs="Arial"/>
        </w:rPr>
      </w:pPr>
    </w:p>
    <w:p w14:paraId="3D239D59" w14:textId="0D28CB15" w:rsidR="0013069A" w:rsidRPr="00502E8E" w:rsidRDefault="0013069A" w:rsidP="002C117E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502E8E">
        <w:rPr>
          <w:rFonts w:asciiTheme="majorHAnsi" w:hAnsiTheme="majorHAnsi"/>
        </w:rPr>
        <w:t xml:space="preserve">Identifying </w:t>
      </w:r>
      <w:r w:rsidR="003136D3">
        <w:rPr>
          <w:rFonts w:asciiTheme="majorHAnsi" w:hAnsiTheme="majorHAnsi"/>
        </w:rPr>
        <w:t xml:space="preserve">and prioritising </w:t>
      </w:r>
      <w:r w:rsidRPr="00502E8E">
        <w:rPr>
          <w:rFonts w:asciiTheme="majorHAnsi" w:hAnsiTheme="majorHAnsi"/>
        </w:rPr>
        <w:t xml:space="preserve">the </w:t>
      </w:r>
      <w:r w:rsidR="002C117E">
        <w:rPr>
          <w:rFonts w:asciiTheme="majorHAnsi" w:hAnsiTheme="majorHAnsi"/>
        </w:rPr>
        <w:t>a</w:t>
      </w:r>
      <w:r w:rsidR="00D0244E" w:rsidRPr="00502E8E">
        <w:rPr>
          <w:rFonts w:asciiTheme="majorHAnsi" w:hAnsiTheme="majorHAnsi"/>
        </w:rPr>
        <w:t>cademy’s</w:t>
      </w:r>
      <w:r w:rsidRPr="00502E8E">
        <w:rPr>
          <w:rFonts w:asciiTheme="majorHAnsi" w:hAnsiTheme="majorHAnsi"/>
        </w:rPr>
        <w:t xml:space="preserve"> CPD needs. Such needs will be identified largely through existing mechanisms such as performance management, self-evaluation, national and local priorities, other internal and external monitoring and feedback evidence and through informal and formal discussions with individuals and teams. </w:t>
      </w:r>
    </w:p>
    <w:p w14:paraId="1A583F2B" w14:textId="298CD6FE" w:rsidR="0013069A" w:rsidRPr="00502E8E" w:rsidRDefault="002D2B2D" w:rsidP="002C117E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 w:cs="Arial"/>
          <w:color w:val="231F20"/>
        </w:rPr>
        <w:t>Discussing</w:t>
      </w:r>
      <w:r w:rsidR="0013069A" w:rsidRPr="00502E8E">
        <w:rPr>
          <w:rFonts w:asciiTheme="majorHAnsi" w:hAnsiTheme="majorHAnsi" w:cs="Arial"/>
          <w:color w:val="231F20"/>
        </w:rPr>
        <w:t xml:space="preserve"> with the Principal the main CPD priorities and the likely budgetary implica</w:t>
      </w:r>
      <w:r>
        <w:rPr>
          <w:rFonts w:asciiTheme="majorHAnsi" w:hAnsiTheme="majorHAnsi" w:cs="Arial"/>
          <w:color w:val="231F20"/>
        </w:rPr>
        <w:t>tions of addressing these needs</w:t>
      </w:r>
      <w:r w:rsidR="0013069A" w:rsidRPr="00502E8E">
        <w:rPr>
          <w:rFonts w:asciiTheme="majorHAnsi" w:hAnsiTheme="majorHAnsi" w:cs="Arial"/>
          <w:color w:val="231F20"/>
        </w:rPr>
        <w:t xml:space="preserve">. </w:t>
      </w:r>
    </w:p>
    <w:p w14:paraId="467C144F" w14:textId="4A4B8132" w:rsidR="0013069A" w:rsidRPr="00502E8E" w:rsidRDefault="0013069A" w:rsidP="002C117E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502E8E">
        <w:rPr>
          <w:rFonts w:asciiTheme="majorHAnsi" w:hAnsiTheme="majorHAnsi" w:cs="Humanist777BT-RomanB"/>
          <w:color w:val="231F20"/>
        </w:rPr>
        <w:t>Deciding whether requests for accessing</w:t>
      </w:r>
      <w:r w:rsidR="002C117E">
        <w:rPr>
          <w:rFonts w:asciiTheme="majorHAnsi" w:hAnsiTheme="majorHAnsi" w:cs="Humanist777BT-RomanB"/>
          <w:color w:val="231F20"/>
        </w:rPr>
        <w:t xml:space="preserve"> CPD can be reasonably granted.</w:t>
      </w:r>
    </w:p>
    <w:p w14:paraId="18B0592F" w14:textId="671189B0" w:rsidR="0013069A" w:rsidRPr="00EF0D55" w:rsidRDefault="0013069A" w:rsidP="002C117E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502E8E">
        <w:rPr>
          <w:rFonts w:asciiTheme="majorHAnsi" w:hAnsiTheme="majorHAnsi" w:cs="Arial"/>
          <w:color w:val="231F20"/>
        </w:rPr>
        <w:t xml:space="preserve">Ensuring that appropriate opportunities are provided for </w:t>
      </w:r>
      <w:r w:rsidR="00EF0D55">
        <w:rPr>
          <w:rFonts w:asciiTheme="majorHAnsi" w:hAnsiTheme="majorHAnsi" w:cs="Arial"/>
          <w:color w:val="231F20"/>
        </w:rPr>
        <w:t>all</w:t>
      </w:r>
      <w:r w:rsidR="002C117E">
        <w:rPr>
          <w:rFonts w:asciiTheme="majorHAnsi" w:hAnsiTheme="majorHAnsi" w:cs="Arial"/>
          <w:color w:val="231F20"/>
        </w:rPr>
        <w:t xml:space="preserve"> groups of the a</w:t>
      </w:r>
      <w:r w:rsidR="00EF0D55">
        <w:rPr>
          <w:rFonts w:asciiTheme="majorHAnsi" w:hAnsiTheme="majorHAnsi" w:cs="Arial"/>
          <w:color w:val="231F20"/>
        </w:rPr>
        <w:t>cademy community.</w:t>
      </w:r>
    </w:p>
    <w:p w14:paraId="5F4C002D" w14:textId="4C848C09" w:rsidR="00EF0D55" w:rsidRPr="00EF0D55" w:rsidRDefault="0013069A" w:rsidP="002C11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Humanist777BT-RomanB"/>
          <w:color w:val="231F20"/>
        </w:rPr>
      </w:pPr>
      <w:r w:rsidRPr="00EF0D55">
        <w:rPr>
          <w:rFonts w:asciiTheme="majorHAnsi" w:hAnsiTheme="majorHAnsi" w:cs="Humanist777BT-RomanB"/>
          <w:color w:val="231F20"/>
        </w:rPr>
        <w:t>Ensuring that providers are of sufficient quality.</w:t>
      </w:r>
    </w:p>
    <w:p w14:paraId="6A74143E" w14:textId="63B8C47C" w:rsidR="0086267A" w:rsidRPr="002C117E" w:rsidRDefault="0013069A" w:rsidP="00BE59C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Humanist777BT-RomanB"/>
          <w:color w:val="231F20"/>
        </w:rPr>
      </w:pPr>
      <w:r w:rsidRPr="00EF0D55">
        <w:rPr>
          <w:rFonts w:asciiTheme="majorHAnsi" w:hAnsiTheme="majorHAnsi" w:cs="Humanist777BT-RomanB"/>
          <w:color w:val="231F20"/>
        </w:rPr>
        <w:t xml:space="preserve">Ensuring that staff have the opportunity to feedback the effectiveness of the CPD provision through on-line questionnaires, review group meetings etc. </w:t>
      </w:r>
    </w:p>
    <w:p w14:paraId="24402434" w14:textId="5BFC0B5B" w:rsidR="00E91FB7" w:rsidRPr="00502E8E" w:rsidRDefault="00A55F12" w:rsidP="00E91FB7">
      <w:pPr>
        <w:pStyle w:val="Heading1"/>
        <w:rPr>
          <w:sz w:val="28"/>
        </w:rPr>
      </w:pPr>
      <w:bookmarkStart w:id="7" w:name="_Toc269620273"/>
      <w:bookmarkStart w:id="8" w:name="_Toc423341953"/>
      <w:r w:rsidRPr="00595349">
        <w:rPr>
          <w:color w:val="auto"/>
          <w:sz w:val="28"/>
        </w:rPr>
        <w:t>4</w:t>
      </w:r>
      <w:r w:rsidR="00E91FB7" w:rsidRPr="00595349">
        <w:rPr>
          <w:color w:val="auto"/>
          <w:sz w:val="28"/>
        </w:rPr>
        <w:t>.0 CPD Provision</w:t>
      </w:r>
      <w:bookmarkEnd w:id="7"/>
      <w:bookmarkEnd w:id="8"/>
    </w:p>
    <w:p w14:paraId="4BB9A7B8" w14:textId="77777777" w:rsidR="00E91FB7" w:rsidRPr="00502E8E" w:rsidRDefault="00E91FB7" w:rsidP="00E91FB7">
      <w:pPr>
        <w:rPr>
          <w:rFonts w:asciiTheme="majorHAnsi" w:hAnsiTheme="majorHAnsi" w:cs="Humanist777BT-RomanB"/>
        </w:rPr>
      </w:pPr>
    </w:p>
    <w:p w14:paraId="2C642CF7" w14:textId="77777777" w:rsidR="00E91FB7" w:rsidRPr="00502E8E" w:rsidRDefault="00E91FB7" w:rsidP="00E91FB7">
      <w:pPr>
        <w:rPr>
          <w:rFonts w:asciiTheme="majorHAnsi" w:hAnsiTheme="majorHAnsi" w:cs="Humanist777BT-RomanB"/>
        </w:rPr>
      </w:pPr>
      <w:r w:rsidRPr="00502E8E">
        <w:rPr>
          <w:rFonts w:asciiTheme="majorHAnsi" w:hAnsiTheme="majorHAnsi" w:cs="Humanist777BT-RomanB"/>
        </w:rPr>
        <w:t>CPD can take many forms which include:</w:t>
      </w:r>
    </w:p>
    <w:p w14:paraId="1A1DC185" w14:textId="77777777" w:rsidR="00E91FB7" w:rsidRPr="00502E8E" w:rsidRDefault="00E91FB7" w:rsidP="00E91FB7">
      <w:pPr>
        <w:pStyle w:val="NoSpacing"/>
        <w:rPr>
          <w:rFonts w:asciiTheme="majorHAnsi" w:hAnsiTheme="majorHAnsi"/>
        </w:rPr>
      </w:pPr>
    </w:p>
    <w:p w14:paraId="0295D13B" w14:textId="06EB26D3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 xml:space="preserve">INSET using the expertise available within </w:t>
      </w:r>
      <w:r w:rsidR="002D2B2D">
        <w:rPr>
          <w:rFonts w:asciiTheme="majorHAnsi" w:hAnsiTheme="majorHAnsi"/>
        </w:rPr>
        <w:t>the Trust</w:t>
      </w:r>
      <w:r w:rsidRPr="002D2B2D">
        <w:rPr>
          <w:rFonts w:asciiTheme="majorHAnsi" w:hAnsiTheme="majorHAnsi"/>
        </w:rPr>
        <w:t xml:space="preserve"> e.g. collaborative teaching, planning and assessment, </w:t>
      </w:r>
      <w:r w:rsidR="002D2B2D">
        <w:rPr>
          <w:rFonts w:asciiTheme="majorHAnsi" w:hAnsiTheme="majorHAnsi"/>
        </w:rPr>
        <w:t>team</w:t>
      </w:r>
      <w:r w:rsidR="003136D3">
        <w:rPr>
          <w:rFonts w:asciiTheme="majorHAnsi" w:hAnsiTheme="majorHAnsi"/>
        </w:rPr>
        <w:t xml:space="preserve"> work</w:t>
      </w:r>
      <w:r w:rsidR="002D2B2D">
        <w:rPr>
          <w:rFonts w:asciiTheme="majorHAnsi" w:hAnsiTheme="majorHAnsi"/>
        </w:rPr>
        <w:t xml:space="preserve">, classroom observation, </w:t>
      </w:r>
      <w:r w:rsidR="003136D3">
        <w:rPr>
          <w:rFonts w:asciiTheme="majorHAnsi" w:hAnsiTheme="majorHAnsi"/>
        </w:rPr>
        <w:t xml:space="preserve">group </w:t>
      </w:r>
      <w:r w:rsidRPr="002D2B2D">
        <w:rPr>
          <w:rFonts w:asciiTheme="majorHAnsi" w:hAnsiTheme="majorHAnsi"/>
        </w:rPr>
        <w:t>eval</w:t>
      </w:r>
      <w:r w:rsidR="002D2B2D">
        <w:rPr>
          <w:rFonts w:asciiTheme="majorHAnsi" w:hAnsiTheme="majorHAnsi"/>
        </w:rPr>
        <w:t>uation, collaborative enquiry, problem-solving and modelling.</w:t>
      </w:r>
    </w:p>
    <w:p w14:paraId="4888639B" w14:textId="5F42BF01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 xml:space="preserve">Coaching and </w:t>
      </w:r>
      <w:r w:rsidR="00A55F12" w:rsidRPr="002D2B2D">
        <w:rPr>
          <w:rFonts w:asciiTheme="majorHAnsi" w:hAnsiTheme="majorHAnsi"/>
        </w:rPr>
        <w:t>mentoring.</w:t>
      </w:r>
    </w:p>
    <w:p w14:paraId="3361FA5E" w14:textId="7010555F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>Job enrichment/enlargement e.g. a higher level of responsibility, front line working in someone else’s job, job sharing, acting roles, job rotation,</w:t>
      </w:r>
      <w:r w:rsidR="00A55F12" w:rsidRPr="002D2B2D">
        <w:rPr>
          <w:rFonts w:asciiTheme="majorHAnsi" w:hAnsiTheme="majorHAnsi"/>
        </w:rPr>
        <w:t xml:space="preserve"> shadowing and leading meetings.</w:t>
      </w:r>
    </w:p>
    <w:p w14:paraId="50CEB673" w14:textId="0D84864D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 xml:space="preserve">Producing documentation or resources such as </w:t>
      </w:r>
      <w:r w:rsidR="002D2B2D">
        <w:rPr>
          <w:rFonts w:asciiTheme="majorHAnsi" w:hAnsiTheme="majorHAnsi"/>
        </w:rPr>
        <w:t xml:space="preserve">policy compilation, </w:t>
      </w:r>
      <w:r w:rsidRPr="002D2B2D">
        <w:rPr>
          <w:rFonts w:asciiTheme="majorHAnsi" w:hAnsiTheme="majorHAnsi"/>
        </w:rPr>
        <w:t>curriculum development, teaching mat</w:t>
      </w:r>
      <w:r w:rsidR="00A55F12" w:rsidRPr="002D2B2D">
        <w:rPr>
          <w:rFonts w:asciiTheme="majorHAnsi" w:hAnsiTheme="majorHAnsi"/>
        </w:rPr>
        <w:t>erials and assessment packages.</w:t>
      </w:r>
    </w:p>
    <w:p w14:paraId="253A2C80" w14:textId="08E902FD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>Accessing an external consul</w:t>
      </w:r>
      <w:r w:rsidR="002D2B2D">
        <w:rPr>
          <w:rFonts w:asciiTheme="majorHAnsi" w:hAnsiTheme="majorHAnsi"/>
        </w:rPr>
        <w:t>tant/adviser or relevant expert.</w:t>
      </w:r>
    </w:p>
    <w:p w14:paraId="43C9F25B" w14:textId="6C8592E5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 xml:space="preserve">Master classes, </w:t>
      </w:r>
      <w:r w:rsidR="00A55F12" w:rsidRPr="002D2B2D">
        <w:rPr>
          <w:rFonts w:asciiTheme="majorHAnsi" w:hAnsiTheme="majorHAnsi"/>
        </w:rPr>
        <w:t>model and demonstration lessons.</w:t>
      </w:r>
    </w:p>
    <w:p w14:paraId="35636E51" w14:textId="40D0E54E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lastRenderedPageBreak/>
        <w:t>Attendance at a lecture, course or conferenc</w:t>
      </w:r>
      <w:r w:rsidR="00A55F12" w:rsidRPr="002D2B2D">
        <w:rPr>
          <w:rFonts w:asciiTheme="majorHAnsi" w:hAnsiTheme="majorHAnsi"/>
        </w:rPr>
        <w:t>e.</w:t>
      </w:r>
    </w:p>
    <w:p w14:paraId="428BEA6C" w14:textId="37E4AADB" w:rsidR="00E91FB7" w:rsidRPr="002D2B2D" w:rsidRDefault="002D2B2D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External v</w:t>
      </w:r>
      <w:r w:rsidR="00E91FB7" w:rsidRPr="002D2B2D">
        <w:rPr>
          <w:rFonts w:asciiTheme="majorHAnsi" w:hAnsiTheme="majorHAnsi"/>
        </w:rPr>
        <w:t xml:space="preserve">isits to observe or participate </w:t>
      </w:r>
      <w:r w:rsidR="00A55F12" w:rsidRPr="002D2B2D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exemplar</w:t>
      </w:r>
      <w:r w:rsidR="00A55F12" w:rsidRPr="002D2B2D">
        <w:rPr>
          <w:rFonts w:asciiTheme="majorHAnsi" w:hAnsiTheme="majorHAnsi"/>
        </w:rPr>
        <w:t xml:space="preserve"> practice.</w:t>
      </w:r>
    </w:p>
    <w:p w14:paraId="0CAD18A4" w14:textId="5F26B171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 xml:space="preserve">Secondments, exchanges and placements e.g. within a regional or national organisation, an exchange or placement with another teacher, school, higher education, industry, international exchange, involvement with </w:t>
      </w:r>
      <w:r w:rsidR="002D2B2D">
        <w:rPr>
          <w:rFonts w:asciiTheme="majorHAnsi" w:hAnsiTheme="majorHAnsi"/>
        </w:rPr>
        <w:t>Local Governing Body etc.</w:t>
      </w:r>
    </w:p>
    <w:p w14:paraId="6796F22A" w14:textId="5D5DF07D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 xml:space="preserve">Postgraduate professional development </w:t>
      </w:r>
      <w:r w:rsidR="002F5056">
        <w:rPr>
          <w:rFonts w:asciiTheme="majorHAnsi" w:hAnsiTheme="majorHAnsi"/>
        </w:rPr>
        <w:t>(</w:t>
      </w:r>
      <w:r w:rsidRPr="002D2B2D">
        <w:rPr>
          <w:rFonts w:asciiTheme="majorHAnsi" w:hAnsiTheme="majorHAnsi"/>
        </w:rPr>
        <w:t xml:space="preserve">and other qualifications from </w:t>
      </w:r>
      <w:r w:rsidR="002F5056">
        <w:rPr>
          <w:rFonts w:asciiTheme="majorHAnsi" w:hAnsiTheme="majorHAnsi"/>
        </w:rPr>
        <w:t>HE</w:t>
      </w:r>
      <w:r w:rsidRPr="002D2B2D">
        <w:rPr>
          <w:rFonts w:asciiTheme="majorHAnsi" w:hAnsiTheme="majorHAnsi"/>
        </w:rPr>
        <w:t xml:space="preserve"> institutions</w:t>
      </w:r>
      <w:r w:rsidR="002F5056">
        <w:rPr>
          <w:rFonts w:asciiTheme="majorHAnsi" w:hAnsiTheme="majorHAnsi"/>
        </w:rPr>
        <w:t>)</w:t>
      </w:r>
      <w:r w:rsidRPr="002D2B2D">
        <w:rPr>
          <w:rFonts w:asciiTheme="majorHAnsi" w:hAnsiTheme="majorHAnsi"/>
        </w:rPr>
        <w:t xml:space="preserve"> and other forms of professional recognition and qualifications such as </w:t>
      </w:r>
      <w:r w:rsidR="00A55F12" w:rsidRPr="002D2B2D">
        <w:rPr>
          <w:rFonts w:asciiTheme="majorHAnsi" w:hAnsiTheme="majorHAnsi"/>
        </w:rPr>
        <w:t xml:space="preserve">NPQML and </w:t>
      </w:r>
      <w:r w:rsidRPr="002D2B2D">
        <w:rPr>
          <w:rFonts w:asciiTheme="majorHAnsi" w:hAnsiTheme="majorHAnsi"/>
        </w:rPr>
        <w:t>N</w:t>
      </w:r>
      <w:r w:rsidR="00A55F12" w:rsidRPr="002D2B2D">
        <w:rPr>
          <w:rFonts w:asciiTheme="majorHAnsi" w:hAnsiTheme="majorHAnsi"/>
        </w:rPr>
        <w:t>P</w:t>
      </w:r>
      <w:r w:rsidR="000F4125" w:rsidRPr="002D2B2D">
        <w:rPr>
          <w:rFonts w:asciiTheme="majorHAnsi" w:hAnsiTheme="majorHAnsi"/>
        </w:rPr>
        <w:t>Q</w:t>
      </w:r>
      <w:r w:rsidR="00A55F12" w:rsidRPr="002D2B2D">
        <w:rPr>
          <w:rFonts w:asciiTheme="majorHAnsi" w:hAnsiTheme="majorHAnsi"/>
        </w:rPr>
        <w:t>SL programmes.</w:t>
      </w:r>
    </w:p>
    <w:p w14:paraId="24D52401" w14:textId="53B1A583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>Research opportun</w:t>
      </w:r>
      <w:r w:rsidR="00A55F12" w:rsidRPr="002D2B2D">
        <w:rPr>
          <w:rFonts w:asciiTheme="majorHAnsi" w:hAnsiTheme="majorHAnsi"/>
        </w:rPr>
        <w:t>ities.</w:t>
      </w:r>
    </w:p>
    <w:p w14:paraId="1FD2FFAD" w14:textId="426BB321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>Distance learning e.g. relevant resources such as educational journals and publications, training vid</w:t>
      </w:r>
      <w:r w:rsidR="00A55F12" w:rsidRPr="002D2B2D">
        <w:rPr>
          <w:rFonts w:asciiTheme="majorHAnsi" w:hAnsiTheme="majorHAnsi"/>
        </w:rPr>
        <w:t>eos, reflection and simulations.</w:t>
      </w:r>
    </w:p>
    <w:p w14:paraId="7CA743FF" w14:textId="21E86B11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>Practical experience e.g. national test or exam marking experience, opportunities to present a paper, contribute to a t</w:t>
      </w:r>
      <w:r w:rsidR="002D2B2D">
        <w:rPr>
          <w:rFonts w:asciiTheme="majorHAnsi" w:hAnsiTheme="majorHAnsi"/>
        </w:rPr>
        <w:t>raining programme, co-ordinate or support a learning forum or network and</w:t>
      </w:r>
      <w:r w:rsidRPr="002D2B2D">
        <w:rPr>
          <w:rFonts w:asciiTheme="majorHAnsi" w:hAnsiTheme="majorHAnsi"/>
        </w:rPr>
        <w:t xml:space="preserve"> involvement </w:t>
      </w:r>
      <w:r w:rsidR="002D2B2D">
        <w:rPr>
          <w:rFonts w:asciiTheme="majorHAnsi" w:hAnsiTheme="majorHAnsi"/>
        </w:rPr>
        <w:t>in local and national networks.</w:t>
      </w:r>
    </w:p>
    <w:p w14:paraId="37E877A9" w14:textId="77777777" w:rsidR="00E91FB7" w:rsidRPr="002D2B2D" w:rsidRDefault="00E91FB7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2D2B2D">
        <w:rPr>
          <w:rFonts w:asciiTheme="majorHAnsi" w:hAnsiTheme="majorHAnsi"/>
        </w:rPr>
        <w:t xml:space="preserve">External partnerships e.g. with a colleague, group, subject, phase, activity or school-based team meetings and activities such as joint planning, observation or standardisation, special project working group etc. </w:t>
      </w:r>
    </w:p>
    <w:p w14:paraId="32B922E6" w14:textId="5EB4F66D" w:rsidR="001737FB" w:rsidRPr="00595349" w:rsidRDefault="00A55F12" w:rsidP="001737FB">
      <w:pPr>
        <w:pStyle w:val="Heading1"/>
        <w:rPr>
          <w:color w:val="auto"/>
          <w:sz w:val="28"/>
        </w:rPr>
      </w:pPr>
      <w:bookmarkStart w:id="9" w:name="_Toc423341954"/>
      <w:r w:rsidRPr="00595349">
        <w:rPr>
          <w:color w:val="auto"/>
          <w:sz w:val="28"/>
        </w:rPr>
        <w:t>5</w:t>
      </w:r>
      <w:r w:rsidR="001737FB" w:rsidRPr="00595349">
        <w:rPr>
          <w:color w:val="auto"/>
          <w:sz w:val="28"/>
        </w:rPr>
        <w:t>.0 Accreditation</w:t>
      </w:r>
      <w:bookmarkEnd w:id="9"/>
    </w:p>
    <w:p w14:paraId="037C985E" w14:textId="77777777" w:rsidR="001737FB" w:rsidRPr="00502E8E" w:rsidRDefault="001737FB" w:rsidP="001737FB">
      <w:pPr>
        <w:rPr>
          <w:rFonts w:asciiTheme="majorHAnsi" w:hAnsiTheme="majorHAnsi" w:cs="Humanist777BT-RomanB"/>
        </w:rPr>
      </w:pPr>
    </w:p>
    <w:p w14:paraId="5DEDF436" w14:textId="77DFDAE6" w:rsidR="001737FB" w:rsidRPr="00502E8E" w:rsidRDefault="001737FB" w:rsidP="001737FB">
      <w:pPr>
        <w:rPr>
          <w:rFonts w:asciiTheme="majorHAnsi" w:hAnsiTheme="majorHAnsi" w:cs="Humanist777BT-RomanB"/>
        </w:rPr>
      </w:pPr>
      <w:r w:rsidRPr="00502E8E">
        <w:rPr>
          <w:rFonts w:asciiTheme="majorHAnsi" w:hAnsiTheme="majorHAnsi" w:cs="Humanist777BT-RomanB"/>
        </w:rPr>
        <w:t>In all cases</w:t>
      </w:r>
      <w:r w:rsidR="002F5056">
        <w:rPr>
          <w:rFonts w:asciiTheme="majorHAnsi" w:hAnsiTheme="majorHAnsi" w:cs="Humanist777BT-RomanB"/>
        </w:rPr>
        <w:t>,</w:t>
      </w:r>
      <w:r w:rsidRPr="00502E8E">
        <w:rPr>
          <w:rFonts w:asciiTheme="majorHAnsi" w:hAnsiTheme="majorHAnsi" w:cs="Humanist777BT-RomanB"/>
        </w:rPr>
        <w:t xml:space="preserve"> staff will be formally accredited for any CPD undertaken. This is likely to include one or more of the following:</w:t>
      </w:r>
    </w:p>
    <w:p w14:paraId="0CBE9FF3" w14:textId="77777777" w:rsidR="001737FB" w:rsidRPr="00502E8E" w:rsidRDefault="001737FB" w:rsidP="001737FB">
      <w:pPr>
        <w:rPr>
          <w:rFonts w:asciiTheme="majorHAnsi" w:hAnsiTheme="majorHAnsi" w:cs="Humanist777BT-RomanB"/>
        </w:rPr>
      </w:pPr>
    </w:p>
    <w:p w14:paraId="080AE913" w14:textId="49F1AD06" w:rsidR="001737FB" w:rsidRPr="00502E8E" w:rsidRDefault="00A55F12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Certificate of attendance.</w:t>
      </w:r>
    </w:p>
    <w:p w14:paraId="259C2F6F" w14:textId="582607A8" w:rsidR="001737FB" w:rsidRPr="00502E8E" w:rsidRDefault="00A55F12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Certificate of competencies.</w:t>
      </w:r>
    </w:p>
    <w:p w14:paraId="73D46B45" w14:textId="605770D3" w:rsidR="001737FB" w:rsidRPr="00502E8E" w:rsidRDefault="001737FB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502E8E">
        <w:rPr>
          <w:rFonts w:asciiTheme="majorHAnsi" w:hAnsiTheme="majorHAnsi"/>
        </w:rPr>
        <w:t>Formal, professional qualifications e.g. NPQH</w:t>
      </w:r>
      <w:r w:rsidR="00A55F12">
        <w:rPr>
          <w:rFonts w:asciiTheme="majorHAnsi" w:hAnsiTheme="majorHAnsi"/>
        </w:rPr>
        <w:t>; NPQSL; NPQML.</w:t>
      </w:r>
    </w:p>
    <w:p w14:paraId="34B18DF9" w14:textId="4260F2B8" w:rsidR="00E512C7" w:rsidRPr="00A55F12" w:rsidRDefault="001737FB" w:rsidP="002D2B2D">
      <w:pPr>
        <w:pStyle w:val="NoSpacing"/>
        <w:numPr>
          <w:ilvl w:val="0"/>
          <w:numId w:val="11"/>
        </w:numPr>
        <w:rPr>
          <w:rFonts w:asciiTheme="majorHAnsi" w:hAnsiTheme="majorHAnsi"/>
        </w:rPr>
      </w:pPr>
      <w:r w:rsidRPr="00502E8E">
        <w:rPr>
          <w:rFonts w:asciiTheme="majorHAnsi" w:hAnsiTheme="majorHAnsi"/>
        </w:rPr>
        <w:t>Updated CPD Record Sheet /</w:t>
      </w:r>
      <w:r w:rsidR="001A0204" w:rsidRPr="002D2B2D">
        <w:rPr>
          <w:rFonts w:asciiTheme="majorHAnsi" w:hAnsiTheme="majorHAnsi"/>
        </w:rPr>
        <w:t>Professional</w:t>
      </w:r>
      <w:r w:rsidRPr="002D2B2D">
        <w:rPr>
          <w:rFonts w:asciiTheme="majorHAnsi" w:hAnsiTheme="majorHAnsi"/>
        </w:rPr>
        <w:t xml:space="preserve"> Development Portfolio</w:t>
      </w:r>
      <w:r w:rsidR="00A55F12">
        <w:rPr>
          <w:rFonts w:asciiTheme="majorHAnsi" w:hAnsiTheme="majorHAnsi"/>
        </w:rPr>
        <w:t>.</w:t>
      </w:r>
    </w:p>
    <w:p w14:paraId="69C7426C" w14:textId="77777777" w:rsidR="00E512C7" w:rsidRPr="00502E8E" w:rsidRDefault="00E512C7" w:rsidP="00BE59C6">
      <w:pPr>
        <w:rPr>
          <w:rFonts w:asciiTheme="majorHAnsi" w:hAnsiTheme="majorHAnsi"/>
        </w:rPr>
      </w:pPr>
    </w:p>
    <w:p w14:paraId="1C4C52DD" w14:textId="77777777" w:rsidR="00A55F12" w:rsidRDefault="00A55F12" w:rsidP="00185D95">
      <w:pPr>
        <w:jc w:val="center"/>
        <w:rPr>
          <w:rFonts w:asciiTheme="majorHAnsi" w:hAnsiTheme="majorHAnsi"/>
        </w:rPr>
      </w:pPr>
    </w:p>
    <w:sectPr w:rsidR="00A55F12" w:rsidSect="00750B4E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F6A2" w14:textId="77777777" w:rsidR="00E55924" w:rsidRDefault="00E55924" w:rsidP="00350374">
      <w:r>
        <w:separator/>
      </w:r>
    </w:p>
  </w:endnote>
  <w:endnote w:type="continuationSeparator" w:id="0">
    <w:p w14:paraId="71B76664" w14:textId="77777777" w:rsidR="00E55924" w:rsidRDefault="00E55924" w:rsidP="0035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anist777BT-Roman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3882" w14:textId="77777777" w:rsidR="00E55924" w:rsidRDefault="00E55924" w:rsidP="00E51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80FC2" w14:textId="77777777" w:rsidR="00E55924" w:rsidRDefault="00E55924" w:rsidP="003503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921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89D0B" w14:textId="1860D522" w:rsidR="00502E8E" w:rsidRDefault="00502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F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FBED1C" w14:textId="77777777" w:rsidR="00E55924" w:rsidRDefault="00E55924" w:rsidP="003503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BD5C8" w14:textId="77777777" w:rsidR="00E55924" w:rsidRDefault="00E55924" w:rsidP="00350374">
      <w:r>
        <w:separator/>
      </w:r>
    </w:p>
  </w:footnote>
  <w:footnote w:type="continuationSeparator" w:id="0">
    <w:p w14:paraId="2D9008A4" w14:textId="77777777" w:rsidR="00E55924" w:rsidRDefault="00E55924" w:rsidP="0035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5CB8"/>
    <w:multiLevelType w:val="hybridMultilevel"/>
    <w:tmpl w:val="77B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3636"/>
    <w:multiLevelType w:val="hybridMultilevel"/>
    <w:tmpl w:val="CFFC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29B7"/>
    <w:multiLevelType w:val="hybridMultilevel"/>
    <w:tmpl w:val="1182F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6E46"/>
    <w:multiLevelType w:val="hybridMultilevel"/>
    <w:tmpl w:val="8856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3D98"/>
    <w:multiLevelType w:val="hybridMultilevel"/>
    <w:tmpl w:val="E9D0927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30D0475"/>
    <w:multiLevelType w:val="hybridMultilevel"/>
    <w:tmpl w:val="35E4DE5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DA0BC3"/>
    <w:multiLevelType w:val="hybridMultilevel"/>
    <w:tmpl w:val="C0A625A8"/>
    <w:lvl w:ilvl="0" w:tplc="8AF8DF5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2864"/>
    <w:multiLevelType w:val="hybridMultilevel"/>
    <w:tmpl w:val="70F006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B490C"/>
    <w:multiLevelType w:val="hybridMultilevel"/>
    <w:tmpl w:val="050031A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7105CB"/>
    <w:multiLevelType w:val="hybridMultilevel"/>
    <w:tmpl w:val="D5A4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91426"/>
    <w:multiLevelType w:val="multilevel"/>
    <w:tmpl w:val="4176A0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6A"/>
    <w:rsid w:val="00025108"/>
    <w:rsid w:val="000449C3"/>
    <w:rsid w:val="000772DB"/>
    <w:rsid w:val="000F1C12"/>
    <w:rsid w:val="000F4125"/>
    <w:rsid w:val="00111C76"/>
    <w:rsid w:val="0013069A"/>
    <w:rsid w:val="00151376"/>
    <w:rsid w:val="00164DFF"/>
    <w:rsid w:val="001737FB"/>
    <w:rsid w:val="00185D95"/>
    <w:rsid w:val="001936A6"/>
    <w:rsid w:val="001A0204"/>
    <w:rsid w:val="001A2BC2"/>
    <w:rsid w:val="00250141"/>
    <w:rsid w:val="002629CC"/>
    <w:rsid w:val="002C117E"/>
    <w:rsid w:val="002C4714"/>
    <w:rsid w:val="002D2B2D"/>
    <w:rsid w:val="002F5056"/>
    <w:rsid w:val="003136D3"/>
    <w:rsid w:val="0032668B"/>
    <w:rsid w:val="00334217"/>
    <w:rsid w:val="00350374"/>
    <w:rsid w:val="003922D4"/>
    <w:rsid w:val="003B6225"/>
    <w:rsid w:val="003D687D"/>
    <w:rsid w:val="004063C7"/>
    <w:rsid w:val="00411549"/>
    <w:rsid w:val="004473FA"/>
    <w:rsid w:val="0049725F"/>
    <w:rsid w:val="00502E8E"/>
    <w:rsid w:val="00535F42"/>
    <w:rsid w:val="0058674C"/>
    <w:rsid w:val="00595349"/>
    <w:rsid w:val="0059558A"/>
    <w:rsid w:val="006265CF"/>
    <w:rsid w:val="00691415"/>
    <w:rsid w:val="006A1350"/>
    <w:rsid w:val="006B385F"/>
    <w:rsid w:val="006E39D5"/>
    <w:rsid w:val="00703637"/>
    <w:rsid w:val="00737412"/>
    <w:rsid w:val="007428C6"/>
    <w:rsid w:val="00750B4E"/>
    <w:rsid w:val="00760451"/>
    <w:rsid w:val="007B54DF"/>
    <w:rsid w:val="007D603D"/>
    <w:rsid w:val="0086267A"/>
    <w:rsid w:val="008E10A8"/>
    <w:rsid w:val="008E383A"/>
    <w:rsid w:val="008F052D"/>
    <w:rsid w:val="009D24DE"/>
    <w:rsid w:val="00A55F12"/>
    <w:rsid w:val="00AE6866"/>
    <w:rsid w:val="00B22E9B"/>
    <w:rsid w:val="00B448D1"/>
    <w:rsid w:val="00B968F2"/>
    <w:rsid w:val="00BE59C6"/>
    <w:rsid w:val="00C25692"/>
    <w:rsid w:val="00C473EC"/>
    <w:rsid w:val="00C66C48"/>
    <w:rsid w:val="00CB4237"/>
    <w:rsid w:val="00CD40DE"/>
    <w:rsid w:val="00D0244E"/>
    <w:rsid w:val="00D117B6"/>
    <w:rsid w:val="00D17DAC"/>
    <w:rsid w:val="00D91E2E"/>
    <w:rsid w:val="00DE05A6"/>
    <w:rsid w:val="00DE0B6F"/>
    <w:rsid w:val="00E36B2F"/>
    <w:rsid w:val="00E477E4"/>
    <w:rsid w:val="00E512C7"/>
    <w:rsid w:val="00E55924"/>
    <w:rsid w:val="00E91FB7"/>
    <w:rsid w:val="00E92751"/>
    <w:rsid w:val="00EB4554"/>
    <w:rsid w:val="00EE4E0E"/>
    <w:rsid w:val="00EF0D55"/>
    <w:rsid w:val="00F72359"/>
    <w:rsid w:val="00F7283F"/>
    <w:rsid w:val="00FD6BD3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46444"/>
  <w14:defaultImageDpi w14:val="300"/>
  <w15:docId w15:val="{064F3CE9-DAEA-4799-949E-16FC5F5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6A"/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3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E236A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6A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E2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69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3069A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91FB7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0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374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50374"/>
  </w:style>
  <w:style w:type="paragraph" w:styleId="NormalWeb">
    <w:name w:val="Normal (Web)"/>
    <w:basedOn w:val="Normal"/>
    <w:uiPriority w:val="99"/>
    <w:semiHidden/>
    <w:unhideWhenUsed/>
    <w:rsid w:val="0033421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E8E"/>
    <w:rPr>
      <w:rFonts w:eastAsiaTheme="minorHAns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91E2E"/>
    <w:pPr>
      <w:spacing w:after="100"/>
    </w:pPr>
  </w:style>
  <w:style w:type="character" w:customStyle="1" w:styleId="NoSpacingChar">
    <w:name w:val="No Spacing Char"/>
    <w:link w:val="NoSpacing"/>
    <w:uiPriority w:val="1"/>
    <w:rsid w:val="000449C3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838A1-8217-45BC-910F-95592541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Tubb</dc:creator>
  <cp:lastModifiedBy>Neil Houchen</cp:lastModifiedBy>
  <cp:revision>7</cp:revision>
  <cp:lastPrinted>2017-03-28T11:28:00Z</cp:lastPrinted>
  <dcterms:created xsi:type="dcterms:W3CDTF">2017-03-28T10:40:00Z</dcterms:created>
  <dcterms:modified xsi:type="dcterms:W3CDTF">2017-06-22T11:50:00Z</dcterms:modified>
</cp:coreProperties>
</file>