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614" w:rsidRDefault="00D40614" w:rsidP="00D40614">
      <w:pPr>
        <w:jc w:val="center"/>
        <w:rPr>
          <w:rFonts w:ascii="Calibri" w:hAnsi="Calibri" w:cs="Arial"/>
          <w:sz w:val="72"/>
        </w:rPr>
      </w:pPr>
      <w:bookmarkStart w:id="0" w:name="_GoBack"/>
      <w:bookmarkEnd w:id="0"/>
    </w:p>
    <w:p w:rsidR="00D40614" w:rsidRDefault="00D40614" w:rsidP="00D40614">
      <w:pPr>
        <w:jc w:val="center"/>
        <w:rPr>
          <w:rFonts w:ascii="Calibri" w:hAnsi="Calibri" w:cs="Arial"/>
          <w:sz w:val="72"/>
        </w:rPr>
      </w:pPr>
    </w:p>
    <w:p w:rsidR="00D40614" w:rsidRDefault="00D40614" w:rsidP="00D40614">
      <w:pPr>
        <w:jc w:val="center"/>
        <w:rPr>
          <w:rFonts w:ascii="Calibri" w:hAnsi="Calibri" w:cs="Arial"/>
          <w:sz w:val="72"/>
        </w:rPr>
      </w:pPr>
    </w:p>
    <w:p w:rsidR="00D40614" w:rsidRDefault="00D40614" w:rsidP="00D40614">
      <w:pPr>
        <w:jc w:val="center"/>
        <w:rPr>
          <w:rFonts w:ascii="Calibri" w:hAnsi="Calibri" w:cs="Arial"/>
          <w:sz w:val="72"/>
        </w:rPr>
      </w:pPr>
    </w:p>
    <w:p w:rsidR="00D40614" w:rsidRDefault="00D40614" w:rsidP="00D40614">
      <w:pPr>
        <w:jc w:val="center"/>
        <w:rPr>
          <w:rFonts w:ascii="Calibri" w:hAnsi="Calibri" w:cs="Arial"/>
          <w:sz w:val="72"/>
        </w:rPr>
      </w:pPr>
    </w:p>
    <w:p w:rsidR="00D40614" w:rsidRDefault="00D40614" w:rsidP="00D40614">
      <w:pPr>
        <w:jc w:val="center"/>
        <w:rPr>
          <w:sz w:val="56"/>
          <w:szCs w:val="56"/>
        </w:rPr>
      </w:pPr>
      <w:r w:rsidRPr="00B11DEE">
        <w:rPr>
          <w:sz w:val="56"/>
          <w:szCs w:val="56"/>
        </w:rPr>
        <w:t>Ea</w:t>
      </w:r>
      <w:r>
        <w:rPr>
          <w:sz w:val="56"/>
          <w:szCs w:val="56"/>
        </w:rPr>
        <w:t xml:space="preserve">stwood Park Academy Trust </w:t>
      </w:r>
    </w:p>
    <w:p w:rsidR="00D40614" w:rsidRDefault="00D40614" w:rsidP="00D40614">
      <w:pPr>
        <w:pStyle w:val="NoSpacing"/>
      </w:pPr>
    </w:p>
    <w:p w:rsidR="00D40614" w:rsidRPr="00B11DEE" w:rsidRDefault="00D40614" w:rsidP="00D40614">
      <w:pPr>
        <w:pStyle w:val="NoSpacing"/>
      </w:pPr>
    </w:p>
    <w:p w:rsidR="00D40614" w:rsidRDefault="00D40614" w:rsidP="00D40614">
      <w:pPr>
        <w:jc w:val="center"/>
        <w:rPr>
          <w:i/>
        </w:rPr>
      </w:pPr>
      <w:r>
        <w:rPr>
          <w:noProof/>
          <w:lang w:eastAsia="en-GB"/>
        </w:rPr>
        <w:drawing>
          <wp:inline distT="0" distB="0" distL="0" distR="0" wp14:anchorId="0CFF90E8" wp14:editId="4366D7CB">
            <wp:extent cx="1988139"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6133" t="48314" r="46555" b="43773"/>
                    <a:stretch/>
                  </pic:blipFill>
                  <pic:spPr bwMode="auto">
                    <a:xfrm>
                      <a:off x="0" y="0"/>
                      <a:ext cx="2035924" cy="897362"/>
                    </a:xfrm>
                    <a:prstGeom prst="rect">
                      <a:avLst/>
                    </a:prstGeom>
                    <a:ln>
                      <a:noFill/>
                    </a:ln>
                    <a:extLst>
                      <a:ext uri="{53640926-AAD7-44D8-BBD7-CCE9431645EC}">
                        <a14:shadowObscured xmlns:a14="http://schemas.microsoft.com/office/drawing/2010/main"/>
                      </a:ext>
                    </a:extLst>
                  </pic:spPr>
                </pic:pic>
              </a:graphicData>
            </a:graphic>
          </wp:inline>
        </w:drawing>
      </w:r>
    </w:p>
    <w:p w:rsidR="00D40614" w:rsidRDefault="00D40614" w:rsidP="00D40614">
      <w:pPr>
        <w:pStyle w:val="NoSpacing"/>
      </w:pPr>
    </w:p>
    <w:p w:rsidR="00D40614" w:rsidRDefault="00D40614" w:rsidP="00D40614">
      <w:pPr>
        <w:pStyle w:val="NoSpacing"/>
      </w:pPr>
    </w:p>
    <w:p w:rsidR="00D40614" w:rsidRDefault="00D40614" w:rsidP="00D40614">
      <w:pPr>
        <w:jc w:val="center"/>
        <w:rPr>
          <w:sz w:val="32"/>
          <w:szCs w:val="32"/>
        </w:rPr>
      </w:pPr>
      <w:r>
        <w:rPr>
          <w:sz w:val="32"/>
          <w:szCs w:val="32"/>
        </w:rPr>
        <w:t>Capability Policy</w:t>
      </w:r>
    </w:p>
    <w:p w:rsidR="00D40614" w:rsidRPr="00B11DEE" w:rsidRDefault="00D40614" w:rsidP="00D40614">
      <w:pPr>
        <w:jc w:val="center"/>
        <w:rPr>
          <w:sz w:val="32"/>
          <w:szCs w:val="32"/>
        </w:rPr>
      </w:pPr>
    </w:p>
    <w:p w:rsidR="00D40614" w:rsidRPr="003725BD" w:rsidRDefault="00D40614" w:rsidP="00D40614">
      <w:pPr>
        <w:pStyle w:val="NoSpacing"/>
      </w:pPr>
    </w:p>
    <w:tbl>
      <w:tblPr>
        <w:tblStyle w:val="TableGrid"/>
        <w:tblW w:w="0" w:type="auto"/>
        <w:jc w:val="center"/>
        <w:tblLook w:val="04A0" w:firstRow="1" w:lastRow="0" w:firstColumn="1" w:lastColumn="0" w:noHBand="0" w:noVBand="1"/>
      </w:tblPr>
      <w:tblGrid>
        <w:gridCol w:w="4428"/>
        <w:gridCol w:w="4428"/>
      </w:tblGrid>
      <w:tr w:rsidR="00D40614" w:rsidRPr="009B7134" w:rsidTr="0004703F">
        <w:trPr>
          <w:jc w:val="center"/>
        </w:trPr>
        <w:tc>
          <w:tcPr>
            <w:tcW w:w="4428" w:type="dxa"/>
          </w:tcPr>
          <w:p w:rsidR="00D40614" w:rsidRPr="00172010" w:rsidRDefault="00D40614" w:rsidP="0004703F">
            <w:pPr>
              <w:pStyle w:val="NoSpacing"/>
            </w:pPr>
            <w:r w:rsidRPr="00172010">
              <w:t xml:space="preserve">Author’s Name: </w:t>
            </w:r>
          </w:p>
        </w:tc>
        <w:tc>
          <w:tcPr>
            <w:tcW w:w="4428" w:type="dxa"/>
          </w:tcPr>
          <w:p w:rsidR="00D40614" w:rsidRPr="00172010" w:rsidRDefault="00D40614" w:rsidP="0004703F">
            <w:pPr>
              <w:pStyle w:val="NoSpacing"/>
            </w:pPr>
            <w:r w:rsidRPr="00172010">
              <w:t>Mr. N. Houchen</w:t>
            </w:r>
          </w:p>
        </w:tc>
      </w:tr>
      <w:tr w:rsidR="00D40614" w:rsidRPr="009B7134" w:rsidTr="0004703F">
        <w:trPr>
          <w:jc w:val="center"/>
        </w:trPr>
        <w:tc>
          <w:tcPr>
            <w:tcW w:w="4428" w:type="dxa"/>
          </w:tcPr>
          <w:p w:rsidR="00D40614" w:rsidRPr="00172010" w:rsidRDefault="00D40614" w:rsidP="0004703F">
            <w:pPr>
              <w:pStyle w:val="NoSpacing"/>
            </w:pPr>
            <w:r w:rsidRPr="00172010">
              <w:t>Date Reviewed</w:t>
            </w:r>
          </w:p>
        </w:tc>
        <w:tc>
          <w:tcPr>
            <w:tcW w:w="4428" w:type="dxa"/>
          </w:tcPr>
          <w:p w:rsidR="00D40614" w:rsidRPr="00172010" w:rsidRDefault="00D40614" w:rsidP="0004703F">
            <w:pPr>
              <w:pStyle w:val="NoSpacing"/>
            </w:pPr>
            <w:r>
              <w:t>June 2017</w:t>
            </w:r>
          </w:p>
        </w:tc>
      </w:tr>
      <w:tr w:rsidR="00D40614" w:rsidRPr="009B7134" w:rsidTr="0004703F">
        <w:trPr>
          <w:jc w:val="center"/>
        </w:trPr>
        <w:tc>
          <w:tcPr>
            <w:tcW w:w="4428" w:type="dxa"/>
            <w:tcBorders>
              <w:bottom w:val="single" w:sz="4" w:space="0" w:color="auto"/>
            </w:tcBorders>
          </w:tcPr>
          <w:p w:rsidR="00D40614" w:rsidRPr="00172010" w:rsidRDefault="00D40614" w:rsidP="0004703F">
            <w:pPr>
              <w:pStyle w:val="NoSpacing"/>
            </w:pPr>
            <w:r>
              <w:t>Date Ratified by Trust</w:t>
            </w:r>
          </w:p>
        </w:tc>
        <w:tc>
          <w:tcPr>
            <w:tcW w:w="4428" w:type="dxa"/>
            <w:tcBorders>
              <w:bottom w:val="single" w:sz="4" w:space="0" w:color="auto"/>
            </w:tcBorders>
          </w:tcPr>
          <w:p w:rsidR="00D40614" w:rsidRPr="00172010" w:rsidRDefault="00D40614" w:rsidP="0004703F">
            <w:pPr>
              <w:pStyle w:val="NoSpacing"/>
            </w:pPr>
          </w:p>
        </w:tc>
      </w:tr>
      <w:tr w:rsidR="00D40614" w:rsidRPr="009B7134" w:rsidTr="0004703F">
        <w:trPr>
          <w:jc w:val="center"/>
        </w:trPr>
        <w:tc>
          <w:tcPr>
            <w:tcW w:w="4428" w:type="dxa"/>
            <w:shd w:val="pct12" w:color="auto" w:fill="auto"/>
          </w:tcPr>
          <w:p w:rsidR="00D40614" w:rsidRPr="00172010" w:rsidRDefault="00D40614" w:rsidP="0004703F">
            <w:pPr>
              <w:pStyle w:val="NoSpacing"/>
            </w:pPr>
          </w:p>
        </w:tc>
        <w:tc>
          <w:tcPr>
            <w:tcW w:w="4428" w:type="dxa"/>
            <w:shd w:val="pct12" w:color="auto" w:fill="auto"/>
          </w:tcPr>
          <w:p w:rsidR="00D40614" w:rsidRPr="00172010" w:rsidRDefault="00D40614" w:rsidP="0004703F">
            <w:pPr>
              <w:pStyle w:val="NoSpacing"/>
            </w:pPr>
          </w:p>
        </w:tc>
      </w:tr>
      <w:tr w:rsidR="00D40614" w:rsidRPr="009B7134" w:rsidTr="0004703F">
        <w:trPr>
          <w:jc w:val="center"/>
        </w:trPr>
        <w:tc>
          <w:tcPr>
            <w:tcW w:w="4428" w:type="dxa"/>
          </w:tcPr>
          <w:p w:rsidR="00D40614" w:rsidRPr="00172010" w:rsidRDefault="00D40614" w:rsidP="0004703F">
            <w:pPr>
              <w:pStyle w:val="NoSpacing"/>
            </w:pPr>
            <w:r>
              <w:t>Signature of CEO</w:t>
            </w:r>
          </w:p>
        </w:tc>
        <w:tc>
          <w:tcPr>
            <w:tcW w:w="4428" w:type="dxa"/>
          </w:tcPr>
          <w:p w:rsidR="00D40614" w:rsidRPr="00172010" w:rsidRDefault="00D40614" w:rsidP="0004703F">
            <w:pPr>
              <w:pStyle w:val="NoSpacing"/>
            </w:pPr>
          </w:p>
        </w:tc>
      </w:tr>
      <w:tr w:rsidR="00D40614" w:rsidRPr="009B7134" w:rsidTr="0004703F">
        <w:trPr>
          <w:jc w:val="center"/>
        </w:trPr>
        <w:tc>
          <w:tcPr>
            <w:tcW w:w="4428" w:type="dxa"/>
          </w:tcPr>
          <w:p w:rsidR="00D40614" w:rsidRPr="00172010" w:rsidRDefault="00D40614" w:rsidP="0004703F">
            <w:pPr>
              <w:pStyle w:val="NoSpacing"/>
            </w:pPr>
            <w:r>
              <w:t>Signature of Chair of Trust</w:t>
            </w:r>
          </w:p>
        </w:tc>
        <w:tc>
          <w:tcPr>
            <w:tcW w:w="4428" w:type="dxa"/>
          </w:tcPr>
          <w:p w:rsidR="00D40614" w:rsidRPr="00172010" w:rsidRDefault="00D40614" w:rsidP="0004703F">
            <w:pPr>
              <w:pStyle w:val="NoSpacing"/>
            </w:pPr>
          </w:p>
        </w:tc>
      </w:tr>
    </w:tbl>
    <w:p w:rsidR="00D40614" w:rsidRPr="009B7134" w:rsidRDefault="00D40614" w:rsidP="00D40614">
      <w:pPr>
        <w:rPr>
          <w:rFonts w:cs="Arial"/>
        </w:rPr>
      </w:pPr>
    </w:p>
    <w:p w:rsidR="00D40614" w:rsidRDefault="00D40614" w:rsidP="00D40614">
      <w:pPr>
        <w:jc w:val="center"/>
        <w:rPr>
          <w:rFonts w:ascii="Calibri" w:hAnsi="Calibri" w:cs="Arial"/>
        </w:rPr>
      </w:pPr>
    </w:p>
    <w:p w:rsidR="00D40614" w:rsidRDefault="00D40614" w:rsidP="00D40614">
      <w:pPr>
        <w:jc w:val="center"/>
        <w:rPr>
          <w:rFonts w:ascii="Calibri" w:hAnsi="Calibri" w:cs="Arial"/>
        </w:rPr>
      </w:pPr>
    </w:p>
    <w:p w:rsidR="00D40614" w:rsidRDefault="00D40614" w:rsidP="00D40614">
      <w:pPr>
        <w:jc w:val="both"/>
        <w:rPr>
          <w:rFonts w:ascii="Arial" w:hAnsi="Arial" w:cs="Arial"/>
          <w:sz w:val="24"/>
          <w:szCs w:val="24"/>
        </w:rPr>
      </w:pPr>
    </w:p>
    <w:p w:rsidR="00D40614" w:rsidRDefault="00D40614" w:rsidP="00D40614">
      <w:pPr>
        <w:jc w:val="both"/>
        <w:rPr>
          <w:rFonts w:ascii="Arial" w:hAnsi="Arial" w:cs="Arial"/>
          <w:sz w:val="24"/>
          <w:szCs w:val="24"/>
        </w:rPr>
      </w:pPr>
    </w:p>
    <w:p w:rsidR="00D40614" w:rsidRDefault="00D40614" w:rsidP="00D40614">
      <w:pPr>
        <w:jc w:val="both"/>
        <w:rPr>
          <w:rFonts w:ascii="Arial" w:hAnsi="Arial" w:cs="Arial"/>
          <w:sz w:val="24"/>
          <w:szCs w:val="24"/>
        </w:rPr>
      </w:pPr>
    </w:p>
    <w:p w:rsidR="00D40614" w:rsidRDefault="00D40614" w:rsidP="00D40614">
      <w:pPr>
        <w:jc w:val="both"/>
        <w:rPr>
          <w:rFonts w:ascii="Arial" w:hAnsi="Arial" w:cs="Arial"/>
          <w:sz w:val="24"/>
          <w:szCs w:val="24"/>
        </w:rPr>
      </w:pPr>
    </w:p>
    <w:p w:rsidR="00D40614" w:rsidRDefault="00D40614" w:rsidP="00D40614">
      <w:pPr>
        <w:jc w:val="both"/>
        <w:rPr>
          <w:rFonts w:ascii="Arial" w:eastAsiaTheme="majorEastAsia" w:hAnsi="Arial" w:cs="Arial"/>
          <w:b/>
          <w:bCs/>
          <w:color w:val="365F91" w:themeColor="accent1" w:themeShade="BF"/>
          <w:sz w:val="24"/>
          <w:szCs w:val="24"/>
        </w:rPr>
      </w:pPr>
    </w:p>
    <w:p w:rsidR="00D40614" w:rsidRDefault="00D40614" w:rsidP="00D40614">
      <w:pPr>
        <w:jc w:val="both"/>
        <w:rPr>
          <w:rFonts w:ascii="Arial" w:eastAsiaTheme="majorEastAsia" w:hAnsi="Arial" w:cs="Arial"/>
          <w:b/>
          <w:bCs/>
          <w:color w:val="365F91" w:themeColor="accent1" w:themeShade="BF"/>
          <w:sz w:val="24"/>
          <w:szCs w:val="24"/>
        </w:rPr>
      </w:pPr>
    </w:p>
    <w:p w:rsidR="00D40614" w:rsidRDefault="00D40614" w:rsidP="00D40614">
      <w:pPr>
        <w:jc w:val="both"/>
        <w:rPr>
          <w:rFonts w:ascii="Arial" w:eastAsiaTheme="majorEastAsia" w:hAnsi="Arial" w:cs="Arial"/>
          <w:b/>
          <w:bCs/>
          <w:color w:val="365F91" w:themeColor="accent1" w:themeShade="BF"/>
          <w:sz w:val="24"/>
          <w:szCs w:val="24"/>
        </w:rPr>
      </w:pPr>
    </w:p>
    <w:p w:rsidR="00D40614" w:rsidRDefault="00D40614" w:rsidP="00D40614">
      <w:pPr>
        <w:jc w:val="both"/>
        <w:rPr>
          <w:rFonts w:ascii="Arial" w:eastAsiaTheme="majorEastAsia" w:hAnsi="Arial" w:cs="Arial"/>
          <w:b/>
          <w:bCs/>
          <w:color w:val="365F91" w:themeColor="accent1" w:themeShade="BF"/>
          <w:sz w:val="24"/>
          <w:szCs w:val="24"/>
        </w:rPr>
      </w:pPr>
    </w:p>
    <w:p w:rsidR="00D40614" w:rsidRDefault="00D40614" w:rsidP="00D40614">
      <w:pPr>
        <w:jc w:val="both"/>
        <w:rPr>
          <w:rFonts w:ascii="Arial" w:eastAsiaTheme="majorEastAsia" w:hAnsi="Arial" w:cs="Arial"/>
          <w:b/>
          <w:bCs/>
          <w:color w:val="365F91" w:themeColor="accent1" w:themeShade="BF"/>
          <w:sz w:val="24"/>
          <w:szCs w:val="24"/>
        </w:rPr>
      </w:pPr>
    </w:p>
    <w:p w:rsidR="00D40614" w:rsidRDefault="00D40614" w:rsidP="00D40614"/>
    <w:sdt>
      <w:sdtPr>
        <w:rPr>
          <w:rFonts w:asciiTheme="minorHAnsi" w:eastAsiaTheme="minorHAnsi" w:hAnsiTheme="minorHAnsi" w:cstheme="minorBidi"/>
          <w:b w:val="0"/>
          <w:bCs w:val="0"/>
          <w:color w:val="auto"/>
          <w:sz w:val="22"/>
          <w:szCs w:val="22"/>
          <w:lang w:val="en-GB"/>
        </w:rPr>
        <w:id w:val="-434518349"/>
        <w:docPartObj>
          <w:docPartGallery w:val="Table of Contents"/>
          <w:docPartUnique/>
        </w:docPartObj>
      </w:sdtPr>
      <w:sdtEndPr>
        <w:rPr>
          <w:noProof/>
        </w:rPr>
      </w:sdtEndPr>
      <w:sdtContent>
        <w:p w:rsidR="00D40614" w:rsidRPr="00FA1D1F" w:rsidRDefault="00D40614" w:rsidP="00D40614">
          <w:pPr>
            <w:pStyle w:val="TOCHeading"/>
            <w:jc w:val="center"/>
            <w:rPr>
              <w:rFonts w:asciiTheme="minorHAnsi" w:hAnsiTheme="minorHAnsi"/>
              <w:color w:val="auto"/>
              <w:sz w:val="24"/>
              <w:szCs w:val="24"/>
            </w:rPr>
          </w:pPr>
          <w:r w:rsidRPr="00FA1D1F">
            <w:rPr>
              <w:rFonts w:asciiTheme="minorHAnsi" w:hAnsiTheme="minorHAnsi"/>
              <w:color w:val="auto"/>
              <w:sz w:val="24"/>
              <w:szCs w:val="24"/>
            </w:rPr>
            <w:t>Contents</w:t>
          </w:r>
        </w:p>
        <w:p w:rsidR="00D40614" w:rsidRDefault="00D40614">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85989699" w:history="1">
            <w:r w:rsidRPr="00532D6E">
              <w:rPr>
                <w:rStyle w:val="Hyperlink"/>
                <w:noProof/>
              </w:rPr>
              <w:t>1.0 Definition</w:t>
            </w:r>
            <w:r>
              <w:rPr>
                <w:noProof/>
                <w:webHidden/>
              </w:rPr>
              <w:tab/>
            </w:r>
            <w:r>
              <w:rPr>
                <w:noProof/>
                <w:webHidden/>
              </w:rPr>
              <w:fldChar w:fldCharType="begin"/>
            </w:r>
            <w:r>
              <w:rPr>
                <w:noProof/>
                <w:webHidden/>
              </w:rPr>
              <w:instrText xml:space="preserve"> PAGEREF _Toc485989699 \h </w:instrText>
            </w:r>
            <w:r>
              <w:rPr>
                <w:noProof/>
                <w:webHidden/>
              </w:rPr>
            </w:r>
            <w:r>
              <w:rPr>
                <w:noProof/>
                <w:webHidden/>
              </w:rPr>
              <w:fldChar w:fldCharType="separate"/>
            </w:r>
            <w:r w:rsidR="00683B36">
              <w:rPr>
                <w:noProof/>
                <w:webHidden/>
              </w:rPr>
              <w:t>3</w:t>
            </w:r>
            <w:r>
              <w:rPr>
                <w:noProof/>
                <w:webHidden/>
              </w:rPr>
              <w:fldChar w:fldCharType="end"/>
            </w:r>
          </w:hyperlink>
        </w:p>
        <w:p w:rsidR="00D40614" w:rsidRDefault="00683B36">
          <w:pPr>
            <w:pStyle w:val="TOC1"/>
            <w:tabs>
              <w:tab w:val="right" w:leader="dot" w:pos="9016"/>
            </w:tabs>
            <w:rPr>
              <w:rFonts w:eastAsiaTheme="minorEastAsia"/>
              <w:noProof/>
              <w:lang w:eastAsia="en-GB"/>
            </w:rPr>
          </w:pPr>
          <w:hyperlink w:anchor="_Toc485989700" w:history="1">
            <w:r w:rsidR="00D40614" w:rsidRPr="00532D6E">
              <w:rPr>
                <w:rStyle w:val="Hyperlink"/>
                <w:rFonts w:cstheme="minorHAnsi"/>
                <w:noProof/>
              </w:rPr>
              <w:t>2.0 Capability Procedure</w:t>
            </w:r>
            <w:r w:rsidR="00D40614">
              <w:rPr>
                <w:noProof/>
                <w:webHidden/>
              </w:rPr>
              <w:tab/>
            </w:r>
            <w:r w:rsidR="00D40614">
              <w:rPr>
                <w:noProof/>
                <w:webHidden/>
              </w:rPr>
              <w:fldChar w:fldCharType="begin"/>
            </w:r>
            <w:r w:rsidR="00D40614">
              <w:rPr>
                <w:noProof/>
                <w:webHidden/>
              </w:rPr>
              <w:instrText xml:space="preserve"> PAGEREF _Toc485989700 \h </w:instrText>
            </w:r>
            <w:r w:rsidR="00D40614">
              <w:rPr>
                <w:noProof/>
                <w:webHidden/>
              </w:rPr>
            </w:r>
            <w:r w:rsidR="00D40614">
              <w:rPr>
                <w:noProof/>
                <w:webHidden/>
              </w:rPr>
              <w:fldChar w:fldCharType="separate"/>
            </w:r>
            <w:r>
              <w:rPr>
                <w:noProof/>
                <w:webHidden/>
              </w:rPr>
              <w:t>3</w:t>
            </w:r>
            <w:r w:rsidR="00D40614">
              <w:rPr>
                <w:noProof/>
                <w:webHidden/>
              </w:rPr>
              <w:fldChar w:fldCharType="end"/>
            </w:r>
          </w:hyperlink>
        </w:p>
        <w:p w:rsidR="00D40614" w:rsidRDefault="00683B36">
          <w:pPr>
            <w:pStyle w:val="TOC2"/>
            <w:tabs>
              <w:tab w:val="right" w:leader="dot" w:pos="9016"/>
            </w:tabs>
            <w:rPr>
              <w:rFonts w:eastAsiaTheme="minorEastAsia"/>
              <w:noProof/>
              <w:lang w:eastAsia="en-GB"/>
            </w:rPr>
          </w:pPr>
          <w:hyperlink w:anchor="_Toc485989701" w:history="1">
            <w:r w:rsidR="00D40614" w:rsidRPr="00532D6E">
              <w:rPr>
                <w:rStyle w:val="Hyperlink"/>
                <w:noProof/>
                <w:snapToGrid w:val="0"/>
              </w:rPr>
              <w:t>2.1 Monitoring Period under the Performance Management Procedure</w:t>
            </w:r>
            <w:r w:rsidR="00D40614">
              <w:rPr>
                <w:noProof/>
                <w:webHidden/>
              </w:rPr>
              <w:tab/>
            </w:r>
            <w:r w:rsidR="00D40614">
              <w:rPr>
                <w:noProof/>
                <w:webHidden/>
              </w:rPr>
              <w:fldChar w:fldCharType="begin"/>
            </w:r>
            <w:r w:rsidR="00D40614">
              <w:rPr>
                <w:noProof/>
                <w:webHidden/>
              </w:rPr>
              <w:instrText xml:space="preserve"> PAGEREF _Toc485989701 \h </w:instrText>
            </w:r>
            <w:r w:rsidR="00D40614">
              <w:rPr>
                <w:noProof/>
                <w:webHidden/>
              </w:rPr>
            </w:r>
            <w:r w:rsidR="00D40614">
              <w:rPr>
                <w:noProof/>
                <w:webHidden/>
              </w:rPr>
              <w:fldChar w:fldCharType="separate"/>
            </w:r>
            <w:r>
              <w:rPr>
                <w:noProof/>
                <w:webHidden/>
              </w:rPr>
              <w:t>3</w:t>
            </w:r>
            <w:r w:rsidR="00D40614">
              <w:rPr>
                <w:noProof/>
                <w:webHidden/>
              </w:rPr>
              <w:fldChar w:fldCharType="end"/>
            </w:r>
          </w:hyperlink>
        </w:p>
        <w:p w:rsidR="00D40614" w:rsidRDefault="00683B36">
          <w:pPr>
            <w:pStyle w:val="TOC2"/>
            <w:tabs>
              <w:tab w:val="right" w:leader="dot" w:pos="9016"/>
            </w:tabs>
            <w:rPr>
              <w:rFonts w:eastAsiaTheme="minorEastAsia"/>
              <w:noProof/>
              <w:lang w:eastAsia="en-GB"/>
            </w:rPr>
          </w:pPr>
          <w:hyperlink w:anchor="_Toc485989702" w:history="1">
            <w:r w:rsidR="00D40614" w:rsidRPr="00532D6E">
              <w:rPr>
                <w:rStyle w:val="Hyperlink"/>
                <w:noProof/>
                <w:snapToGrid w:val="0"/>
              </w:rPr>
              <w:t>2.2 Formal Capability Procedure</w:t>
            </w:r>
            <w:r w:rsidR="00D40614">
              <w:rPr>
                <w:noProof/>
                <w:webHidden/>
              </w:rPr>
              <w:tab/>
            </w:r>
            <w:r w:rsidR="00D40614">
              <w:rPr>
                <w:noProof/>
                <w:webHidden/>
              </w:rPr>
              <w:fldChar w:fldCharType="begin"/>
            </w:r>
            <w:r w:rsidR="00D40614">
              <w:rPr>
                <w:noProof/>
                <w:webHidden/>
              </w:rPr>
              <w:instrText xml:space="preserve"> PAGEREF _Toc485989702 \h </w:instrText>
            </w:r>
            <w:r w:rsidR="00D40614">
              <w:rPr>
                <w:noProof/>
                <w:webHidden/>
              </w:rPr>
            </w:r>
            <w:r w:rsidR="00D40614">
              <w:rPr>
                <w:noProof/>
                <w:webHidden/>
              </w:rPr>
              <w:fldChar w:fldCharType="separate"/>
            </w:r>
            <w:r>
              <w:rPr>
                <w:noProof/>
                <w:webHidden/>
              </w:rPr>
              <w:t>3</w:t>
            </w:r>
            <w:r w:rsidR="00D40614">
              <w:rPr>
                <w:noProof/>
                <w:webHidden/>
              </w:rPr>
              <w:fldChar w:fldCharType="end"/>
            </w:r>
          </w:hyperlink>
        </w:p>
        <w:p w:rsidR="00D40614" w:rsidRDefault="00683B36">
          <w:pPr>
            <w:pStyle w:val="TOC2"/>
            <w:tabs>
              <w:tab w:val="right" w:leader="dot" w:pos="9016"/>
            </w:tabs>
            <w:rPr>
              <w:rFonts w:eastAsiaTheme="minorEastAsia"/>
              <w:noProof/>
              <w:lang w:eastAsia="en-GB"/>
            </w:rPr>
          </w:pPr>
          <w:hyperlink w:anchor="_Toc485989703" w:history="1">
            <w:r w:rsidR="00D40614" w:rsidRPr="00532D6E">
              <w:rPr>
                <w:rStyle w:val="Hyperlink"/>
                <w:noProof/>
                <w:snapToGrid w:val="0"/>
              </w:rPr>
              <w:t>2.3 Outcomes</w:t>
            </w:r>
            <w:r w:rsidR="00D40614">
              <w:rPr>
                <w:noProof/>
                <w:webHidden/>
              </w:rPr>
              <w:tab/>
            </w:r>
            <w:r w:rsidR="00D40614">
              <w:rPr>
                <w:noProof/>
                <w:webHidden/>
              </w:rPr>
              <w:fldChar w:fldCharType="begin"/>
            </w:r>
            <w:r w:rsidR="00D40614">
              <w:rPr>
                <w:noProof/>
                <w:webHidden/>
              </w:rPr>
              <w:instrText xml:space="preserve"> PAGEREF _Toc485989703 \h </w:instrText>
            </w:r>
            <w:r w:rsidR="00D40614">
              <w:rPr>
                <w:noProof/>
                <w:webHidden/>
              </w:rPr>
            </w:r>
            <w:r w:rsidR="00D40614">
              <w:rPr>
                <w:noProof/>
                <w:webHidden/>
              </w:rPr>
              <w:fldChar w:fldCharType="separate"/>
            </w:r>
            <w:r>
              <w:rPr>
                <w:noProof/>
                <w:webHidden/>
              </w:rPr>
              <w:t>4</w:t>
            </w:r>
            <w:r w:rsidR="00D40614">
              <w:rPr>
                <w:noProof/>
                <w:webHidden/>
              </w:rPr>
              <w:fldChar w:fldCharType="end"/>
            </w:r>
          </w:hyperlink>
        </w:p>
        <w:p w:rsidR="00D40614" w:rsidRDefault="00683B36">
          <w:pPr>
            <w:pStyle w:val="TOC2"/>
            <w:tabs>
              <w:tab w:val="right" w:leader="dot" w:pos="9016"/>
            </w:tabs>
            <w:rPr>
              <w:rFonts w:eastAsiaTheme="minorEastAsia"/>
              <w:noProof/>
              <w:lang w:eastAsia="en-GB"/>
            </w:rPr>
          </w:pPr>
          <w:hyperlink w:anchor="_Toc485989704" w:history="1">
            <w:r w:rsidR="00D40614" w:rsidRPr="00532D6E">
              <w:rPr>
                <w:rStyle w:val="Hyperlink"/>
                <w:noProof/>
                <w:snapToGrid w:val="0"/>
              </w:rPr>
              <w:t>2.4 Appeals</w:t>
            </w:r>
            <w:r w:rsidR="00D40614">
              <w:rPr>
                <w:noProof/>
                <w:webHidden/>
              </w:rPr>
              <w:tab/>
            </w:r>
            <w:r w:rsidR="00D40614">
              <w:rPr>
                <w:noProof/>
                <w:webHidden/>
              </w:rPr>
              <w:fldChar w:fldCharType="begin"/>
            </w:r>
            <w:r w:rsidR="00D40614">
              <w:rPr>
                <w:noProof/>
                <w:webHidden/>
              </w:rPr>
              <w:instrText xml:space="preserve"> PAGEREF _Toc485989704 \h </w:instrText>
            </w:r>
            <w:r w:rsidR="00D40614">
              <w:rPr>
                <w:noProof/>
                <w:webHidden/>
              </w:rPr>
            </w:r>
            <w:r w:rsidR="00D40614">
              <w:rPr>
                <w:noProof/>
                <w:webHidden/>
              </w:rPr>
              <w:fldChar w:fldCharType="separate"/>
            </w:r>
            <w:r>
              <w:rPr>
                <w:noProof/>
                <w:webHidden/>
              </w:rPr>
              <w:t>5</w:t>
            </w:r>
            <w:r w:rsidR="00D40614">
              <w:rPr>
                <w:noProof/>
                <w:webHidden/>
              </w:rPr>
              <w:fldChar w:fldCharType="end"/>
            </w:r>
          </w:hyperlink>
        </w:p>
        <w:p w:rsidR="00D40614" w:rsidRDefault="00683B36">
          <w:pPr>
            <w:pStyle w:val="TOC2"/>
            <w:tabs>
              <w:tab w:val="right" w:leader="dot" w:pos="9016"/>
            </w:tabs>
            <w:rPr>
              <w:rFonts w:eastAsiaTheme="minorEastAsia"/>
              <w:noProof/>
              <w:lang w:eastAsia="en-GB"/>
            </w:rPr>
          </w:pPr>
          <w:hyperlink w:anchor="_Toc485989705" w:history="1">
            <w:r w:rsidR="00D40614" w:rsidRPr="00532D6E">
              <w:rPr>
                <w:rStyle w:val="Hyperlink"/>
                <w:noProof/>
                <w:snapToGrid w:val="0"/>
              </w:rPr>
              <w:t>2.5 Records</w:t>
            </w:r>
            <w:r w:rsidR="00D40614">
              <w:rPr>
                <w:noProof/>
                <w:webHidden/>
              </w:rPr>
              <w:tab/>
            </w:r>
            <w:r w:rsidR="00D40614">
              <w:rPr>
                <w:noProof/>
                <w:webHidden/>
              </w:rPr>
              <w:fldChar w:fldCharType="begin"/>
            </w:r>
            <w:r w:rsidR="00D40614">
              <w:rPr>
                <w:noProof/>
                <w:webHidden/>
              </w:rPr>
              <w:instrText xml:space="preserve"> PAGEREF _Toc485989705 \h </w:instrText>
            </w:r>
            <w:r w:rsidR="00D40614">
              <w:rPr>
                <w:noProof/>
                <w:webHidden/>
              </w:rPr>
            </w:r>
            <w:r w:rsidR="00D40614">
              <w:rPr>
                <w:noProof/>
                <w:webHidden/>
              </w:rPr>
              <w:fldChar w:fldCharType="separate"/>
            </w:r>
            <w:r>
              <w:rPr>
                <w:noProof/>
                <w:webHidden/>
              </w:rPr>
              <w:t>5</w:t>
            </w:r>
            <w:r w:rsidR="00D40614">
              <w:rPr>
                <w:noProof/>
                <w:webHidden/>
              </w:rPr>
              <w:fldChar w:fldCharType="end"/>
            </w:r>
          </w:hyperlink>
        </w:p>
        <w:p w:rsidR="00D40614" w:rsidRDefault="00683B36">
          <w:pPr>
            <w:pStyle w:val="TOC2"/>
            <w:tabs>
              <w:tab w:val="right" w:leader="dot" w:pos="9016"/>
            </w:tabs>
            <w:rPr>
              <w:rFonts w:eastAsiaTheme="minorEastAsia"/>
              <w:noProof/>
              <w:lang w:eastAsia="en-GB"/>
            </w:rPr>
          </w:pPr>
          <w:hyperlink w:anchor="_Toc485989706" w:history="1">
            <w:r w:rsidR="00D40614" w:rsidRPr="00532D6E">
              <w:rPr>
                <w:rStyle w:val="Hyperlink"/>
                <w:noProof/>
                <w:snapToGrid w:val="0"/>
              </w:rPr>
              <w:t>2.6 Timing/Location of Meetings/Hearings</w:t>
            </w:r>
            <w:r w:rsidR="00D40614">
              <w:rPr>
                <w:noProof/>
                <w:webHidden/>
              </w:rPr>
              <w:tab/>
            </w:r>
            <w:r w:rsidR="00D40614">
              <w:rPr>
                <w:noProof/>
                <w:webHidden/>
              </w:rPr>
              <w:fldChar w:fldCharType="begin"/>
            </w:r>
            <w:r w:rsidR="00D40614">
              <w:rPr>
                <w:noProof/>
                <w:webHidden/>
              </w:rPr>
              <w:instrText xml:space="preserve"> PAGEREF _Toc485989706 \h </w:instrText>
            </w:r>
            <w:r w:rsidR="00D40614">
              <w:rPr>
                <w:noProof/>
                <w:webHidden/>
              </w:rPr>
            </w:r>
            <w:r w:rsidR="00D40614">
              <w:rPr>
                <w:noProof/>
                <w:webHidden/>
              </w:rPr>
              <w:fldChar w:fldCharType="separate"/>
            </w:r>
            <w:r>
              <w:rPr>
                <w:noProof/>
                <w:webHidden/>
              </w:rPr>
              <w:t>5</w:t>
            </w:r>
            <w:r w:rsidR="00D40614">
              <w:rPr>
                <w:noProof/>
                <w:webHidden/>
              </w:rPr>
              <w:fldChar w:fldCharType="end"/>
            </w:r>
          </w:hyperlink>
        </w:p>
        <w:p w:rsidR="00D40614" w:rsidRDefault="00683B36">
          <w:pPr>
            <w:pStyle w:val="TOC2"/>
            <w:tabs>
              <w:tab w:val="right" w:leader="dot" w:pos="9016"/>
            </w:tabs>
            <w:rPr>
              <w:rFonts w:eastAsiaTheme="minorEastAsia"/>
              <w:noProof/>
              <w:lang w:eastAsia="en-GB"/>
            </w:rPr>
          </w:pPr>
          <w:hyperlink w:anchor="_Toc485989707" w:history="1">
            <w:r w:rsidR="00D40614" w:rsidRPr="00532D6E">
              <w:rPr>
                <w:rStyle w:val="Hyperlink"/>
                <w:noProof/>
                <w:snapToGrid w:val="0"/>
              </w:rPr>
              <w:t>2.7 Grievances raised during Capability Procedures</w:t>
            </w:r>
            <w:r w:rsidR="00D40614">
              <w:rPr>
                <w:noProof/>
                <w:webHidden/>
              </w:rPr>
              <w:tab/>
            </w:r>
            <w:r w:rsidR="00D40614">
              <w:rPr>
                <w:noProof/>
                <w:webHidden/>
              </w:rPr>
              <w:fldChar w:fldCharType="begin"/>
            </w:r>
            <w:r w:rsidR="00D40614">
              <w:rPr>
                <w:noProof/>
                <w:webHidden/>
              </w:rPr>
              <w:instrText xml:space="preserve"> PAGEREF _Toc485989707 \h </w:instrText>
            </w:r>
            <w:r w:rsidR="00D40614">
              <w:rPr>
                <w:noProof/>
                <w:webHidden/>
              </w:rPr>
            </w:r>
            <w:r w:rsidR="00D40614">
              <w:rPr>
                <w:noProof/>
                <w:webHidden/>
              </w:rPr>
              <w:fldChar w:fldCharType="separate"/>
            </w:r>
            <w:r>
              <w:rPr>
                <w:noProof/>
                <w:webHidden/>
              </w:rPr>
              <w:t>6</w:t>
            </w:r>
            <w:r w:rsidR="00D40614">
              <w:rPr>
                <w:noProof/>
                <w:webHidden/>
              </w:rPr>
              <w:fldChar w:fldCharType="end"/>
            </w:r>
          </w:hyperlink>
        </w:p>
        <w:p w:rsidR="00D40614" w:rsidRDefault="00683B36">
          <w:pPr>
            <w:pStyle w:val="TOC2"/>
            <w:tabs>
              <w:tab w:val="right" w:leader="dot" w:pos="9016"/>
            </w:tabs>
            <w:rPr>
              <w:rFonts w:eastAsiaTheme="minorEastAsia"/>
              <w:noProof/>
              <w:lang w:eastAsia="en-GB"/>
            </w:rPr>
          </w:pPr>
          <w:hyperlink w:anchor="_Toc485989708" w:history="1">
            <w:r w:rsidR="00D40614" w:rsidRPr="00532D6E">
              <w:rPr>
                <w:rStyle w:val="Hyperlink"/>
                <w:noProof/>
                <w:snapToGrid w:val="0"/>
              </w:rPr>
              <w:t>2.8 Ill Health during Capability Procedures</w:t>
            </w:r>
            <w:r w:rsidR="00D40614">
              <w:rPr>
                <w:noProof/>
                <w:webHidden/>
              </w:rPr>
              <w:tab/>
            </w:r>
            <w:r w:rsidR="00D40614">
              <w:rPr>
                <w:noProof/>
                <w:webHidden/>
              </w:rPr>
              <w:fldChar w:fldCharType="begin"/>
            </w:r>
            <w:r w:rsidR="00D40614">
              <w:rPr>
                <w:noProof/>
                <w:webHidden/>
              </w:rPr>
              <w:instrText xml:space="preserve"> PAGEREF _Toc485989708 \h </w:instrText>
            </w:r>
            <w:r w:rsidR="00D40614">
              <w:rPr>
                <w:noProof/>
                <w:webHidden/>
              </w:rPr>
            </w:r>
            <w:r w:rsidR="00D40614">
              <w:rPr>
                <w:noProof/>
                <w:webHidden/>
              </w:rPr>
              <w:fldChar w:fldCharType="separate"/>
            </w:r>
            <w:r>
              <w:rPr>
                <w:noProof/>
                <w:webHidden/>
              </w:rPr>
              <w:t>6</w:t>
            </w:r>
            <w:r w:rsidR="00D40614">
              <w:rPr>
                <w:noProof/>
                <w:webHidden/>
              </w:rPr>
              <w:fldChar w:fldCharType="end"/>
            </w:r>
          </w:hyperlink>
        </w:p>
        <w:p w:rsidR="00D40614" w:rsidRDefault="00683B36">
          <w:pPr>
            <w:pStyle w:val="TOC1"/>
            <w:tabs>
              <w:tab w:val="right" w:leader="dot" w:pos="9016"/>
            </w:tabs>
            <w:rPr>
              <w:rFonts w:eastAsiaTheme="minorEastAsia"/>
              <w:noProof/>
              <w:lang w:eastAsia="en-GB"/>
            </w:rPr>
          </w:pPr>
          <w:hyperlink w:anchor="_Toc485989709" w:history="1">
            <w:r w:rsidR="00D40614" w:rsidRPr="00532D6E">
              <w:rPr>
                <w:rStyle w:val="Hyperlink"/>
                <w:noProof/>
                <w:lang w:eastAsia="en-GB"/>
              </w:rPr>
              <w:t>Appendix A</w:t>
            </w:r>
            <w:r w:rsidR="00D40614">
              <w:rPr>
                <w:noProof/>
                <w:webHidden/>
              </w:rPr>
              <w:tab/>
            </w:r>
            <w:r w:rsidR="00D40614">
              <w:rPr>
                <w:noProof/>
                <w:webHidden/>
              </w:rPr>
              <w:fldChar w:fldCharType="begin"/>
            </w:r>
            <w:r w:rsidR="00D40614">
              <w:rPr>
                <w:noProof/>
                <w:webHidden/>
              </w:rPr>
              <w:instrText xml:space="preserve"> PAGEREF _Toc485989709 \h </w:instrText>
            </w:r>
            <w:r w:rsidR="00D40614">
              <w:rPr>
                <w:noProof/>
                <w:webHidden/>
              </w:rPr>
            </w:r>
            <w:r w:rsidR="00D40614">
              <w:rPr>
                <w:noProof/>
                <w:webHidden/>
              </w:rPr>
              <w:fldChar w:fldCharType="separate"/>
            </w:r>
            <w:r>
              <w:rPr>
                <w:noProof/>
                <w:webHidden/>
              </w:rPr>
              <w:t>7</w:t>
            </w:r>
            <w:r w:rsidR="00D40614">
              <w:rPr>
                <w:noProof/>
                <w:webHidden/>
              </w:rPr>
              <w:fldChar w:fldCharType="end"/>
            </w:r>
          </w:hyperlink>
        </w:p>
        <w:p w:rsidR="00D40614" w:rsidRDefault="00D40614" w:rsidP="00D40614">
          <w:r>
            <w:rPr>
              <w:b/>
              <w:bCs/>
              <w:noProof/>
            </w:rPr>
            <w:fldChar w:fldCharType="end"/>
          </w:r>
        </w:p>
      </w:sdtContent>
    </w:sdt>
    <w:p w:rsidR="00D40614" w:rsidRDefault="00D40614" w:rsidP="00D40614"/>
    <w:p w:rsidR="00D40614" w:rsidRDefault="00D40614" w:rsidP="00D40614"/>
    <w:p w:rsidR="00D40614" w:rsidRDefault="00D40614" w:rsidP="00D40614"/>
    <w:p w:rsidR="00D40614" w:rsidRDefault="00D40614" w:rsidP="00D40614"/>
    <w:p w:rsidR="00D40614" w:rsidRDefault="00D40614" w:rsidP="00D40614"/>
    <w:p w:rsidR="00D40614" w:rsidRDefault="00D40614" w:rsidP="00D40614"/>
    <w:p w:rsidR="00D40614" w:rsidRDefault="00D40614" w:rsidP="00D40614"/>
    <w:p w:rsidR="00D40614" w:rsidRDefault="00D40614" w:rsidP="00D40614"/>
    <w:p w:rsidR="00D40614" w:rsidRDefault="00D40614" w:rsidP="00D40614"/>
    <w:p w:rsidR="00D40614" w:rsidRDefault="00D40614" w:rsidP="00D40614"/>
    <w:p w:rsidR="00D40614" w:rsidRDefault="00D40614" w:rsidP="00D40614"/>
    <w:p w:rsidR="00D40614" w:rsidRDefault="00D40614" w:rsidP="00D40614"/>
    <w:p w:rsidR="00D40614" w:rsidRDefault="00D40614" w:rsidP="00D40614"/>
    <w:p w:rsidR="00D40614" w:rsidRDefault="00D40614" w:rsidP="00D40614"/>
    <w:p w:rsidR="00D40614" w:rsidRDefault="00D40614" w:rsidP="00D40614"/>
    <w:p w:rsidR="00D40614" w:rsidRDefault="00D40614" w:rsidP="00D40614"/>
    <w:p w:rsidR="00D40614" w:rsidRDefault="00D40614" w:rsidP="00D40614"/>
    <w:p w:rsidR="00D40614" w:rsidRDefault="00D40614" w:rsidP="00D40614"/>
    <w:p w:rsidR="00D40614" w:rsidRDefault="00D40614" w:rsidP="00D40614"/>
    <w:p w:rsidR="00D40614" w:rsidRDefault="00D40614" w:rsidP="00D40614"/>
    <w:p w:rsidR="00D40614" w:rsidRDefault="00D40614" w:rsidP="00D40614"/>
    <w:p w:rsidR="00D40614" w:rsidRDefault="00D40614" w:rsidP="00D40614"/>
    <w:p w:rsidR="00D40614" w:rsidRDefault="00D40614" w:rsidP="00D40614"/>
    <w:p w:rsidR="00D40614" w:rsidRDefault="00D40614" w:rsidP="00D40614"/>
    <w:p w:rsidR="00D40614" w:rsidRDefault="00D40614" w:rsidP="00D40614"/>
    <w:p w:rsidR="00D40614" w:rsidRDefault="00D40614" w:rsidP="00D40614"/>
    <w:p w:rsidR="00D40614" w:rsidRDefault="00D40614" w:rsidP="00D40614"/>
    <w:p w:rsidR="00D40614" w:rsidRDefault="00D40614" w:rsidP="00D40614"/>
    <w:p w:rsidR="00D40614" w:rsidRDefault="00D40614" w:rsidP="00D40614"/>
    <w:p w:rsidR="00D40614" w:rsidRDefault="00D40614" w:rsidP="00D40614"/>
    <w:p w:rsidR="00D40614" w:rsidRPr="009014E6" w:rsidRDefault="00D40614" w:rsidP="00D40614"/>
    <w:p w:rsidR="00D40614" w:rsidRPr="00FA1D1F" w:rsidRDefault="00D40614" w:rsidP="00D40614">
      <w:pPr>
        <w:pStyle w:val="Heading1"/>
        <w:rPr>
          <w:rFonts w:asciiTheme="minorHAnsi" w:hAnsiTheme="minorHAnsi"/>
          <w:bCs w:val="0"/>
          <w:color w:val="auto"/>
          <w:sz w:val="24"/>
          <w:szCs w:val="24"/>
        </w:rPr>
      </w:pPr>
      <w:bookmarkStart w:id="1" w:name="_Toc187813212"/>
      <w:bookmarkStart w:id="2" w:name="_Toc342054033"/>
      <w:bookmarkStart w:id="3" w:name="_Toc485989699"/>
      <w:r w:rsidRPr="00FA1D1F">
        <w:rPr>
          <w:rFonts w:asciiTheme="minorHAnsi" w:hAnsiTheme="minorHAnsi"/>
          <w:bCs w:val="0"/>
          <w:color w:val="auto"/>
          <w:sz w:val="24"/>
          <w:szCs w:val="24"/>
        </w:rPr>
        <w:lastRenderedPageBreak/>
        <w:t>1.0 Definition</w:t>
      </w:r>
      <w:bookmarkEnd w:id="1"/>
      <w:bookmarkEnd w:id="2"/>
      <w:bookmarkEnd w:id="3"/>
    </w:p>
    <w:p w:rsidR="00D40614" w:rsidRPr="00952F74" w:rsidRDefault="00D40614" w:rsidP="00D40614"/>
    <w:p w:rsidR="00D40614" w:rsidRDefault="00D40614" w:rsidP="00D40614">
      <w:r>
        <w:t>The minimum standard expected of all employees is the satisfactory performance of the tasks as set out in their job description, to the level set out in the person specification for that job and any standards applicable to the role.</w:t>
      </w:r>
    </w:p>
    <w:p w:rsidR="00D40614" w:rsidRDefault="00D40614" w:rsidP="00D40614"/>
    <w:p w:rsidR="00D40614" w:rsidRDefault="00D40614" w:rsidP="00D40614">
      <w:pPr>
        <w:rPr>
          <w:lang w:val="en-US"/>
        </w:rPr>
      </w:pPr>
      <w:r>
        <w:t xml:space="preserve">The performance of staff is monitored and managed on a day to day basis by line managers and through the </w:t>
      </w:r>
      <w:hyperlink r:id="rId12" w:history="1">
        <w:r w:rsidRPr="00D75345">
          <w:t>Performance Management Policy</w:t>
        </w:r>
      </w:hyperlink>
      <w:r w:rsidRPr="00D75345">
        <w:t xml:space="preserve">. </w:t>
      </w:r>
    </w:p>
    <w:p w:rsidR="00D40614" w:rsidRDefault="00D40614" w:rsidP="00D40614">
      <w:pPr>
        <w:rPr>
          <w:lang w:val="en-US"/>
        </w:rPr>
      </w:pPr>
    </w:p>
    <w:p w:rsidR="00D40614" w:rsidRPr="009E2AF1" w:rsidRDefault="00D40614" w:rsidP="00D40614">
      <w:r>
        <w:t xml:space="preserve">The </w:t>
      </w:r>
      <w:hyperlink r:id="rId13" w:history="1">
        <w:r w:rsidRPr="00D75345">
          <w:t>Capability Policy</w:t>
        </w:r>
      </w:hyperlink>
      <w:r w:rsidRPr="00D75345">
        <w:t xml:space="preserve"> </w:t>
      </w:r>
      <w:r>
        <w:t xml:space="preserve">sets out arrangements that will apply where an employee’s performance falls below the minimum standard of competence that is expected of them. A summary of the procedure is set out at </w:t>
      </w:r>
      <w:r w:rsidRPr="009E2AF1">
        <w:rPr>
          <w:b/>
        </w:rPr>
        <w:t>Appendix A.</w:t>
      </w:r>
      <w:bookmarkStart w:id="4" w:name="_2._The_scope_of_the_Capability_Proc"/>
      <w:bookmarkEnd w:id="4"/>
    </w:p>
    <w:p w:rsidR="00D40614" w:rsidRPr="00D16B5A" w:rsidRDefault="00D40614" w:rsidP="00D40614">
      <w:pPr>
        <w:pStyle w:val="Heading1"/>
        <w:jc w:val="both"/>
        <w:rPr>
          <w:rFonts w:asciiTheme="minorHAnsi" w:hAnsiTheme="minorHAnsi" w:cstheme="minorHAnsi"/>
          <w:color w:val="auto"/>
          <w:sz w:val="24"/>
          <w:szCs w:val="24"/>
        </w:rPr>
      </w:pPr>
      <w:bookmarkStart w:id="5" w:name="_Toc390760086"/>
      <w:bookmarkStart w:id="6" w:name="_Toc485989700"/>
      <w:r w:rsidRPr="00D16B5A">
        <w:rPr>
          <w:rFonts w:asciiTheme="minorHAnsi" w:hAnsiTheme="minorHAnsi" w:cstheme="minorHAnsi"/>
          <w:color w:val="auto"/>
          <w:sz w:val="24"/>
          <w:szCs w:val="24"/>
        </w:rPr>
        <w:t>2.0 Capability Procedure</w:t>
      </w:r>
      <w:bookmarkEnd w:id="5"/>
      <w:bookmarkEnd w:id="6"/>
    </w:p>
    <w:p w:rsidR="00D40614" w:rsidRPr="00D16B5A" w:rsidRDefault="00D40614" w:rsidP="00D40614">
      <w:pPr>
        <w:pStyle w:val="Heading2"/>
        <w:rPr>
          <w:rFonts w:asciiTheme="minorHAnsi" w:hAnsiTheme="minorHAnsi"/>
          <w:snapToGrid w:val="0"/>
          <w:color w:val="auto"/>
          <w:sz w:val="22"/>
          <w:szCs w:val="22"/>
        </w:rPr>
      </w:pPr>
      <w:bookmarkStart w:id="7" w:name="_Toc390760087"/>
      <w:bookmarkStart w:id="8" w:name="_Toc485989701"/>
      <w:r w:rsidRPr="00D16B5A">
        <w:rPr>
          <w:rFonts w:asciiTheme="minorHAnsi" w:hAnsiTheme="minorHAnsi"/>
          <w:snapToGrid w:val="0"/>
          <w:color w:val="auto"/>
          <w:sz w:val="22"/>
          <w:szCs w:val="22"/>
        </w:rPr>
        <w:t>2.1 Monitoring Period under the Performance Management Procedure</w:t>
      </w:r>
      <w:bookmarkEnd w:id="7"/>
      <w:bookmarkEnd w:id="8"/>
    </w:p>
    <w:p w:rsidR="00D40614" w:rsidRPr="000F7E0C" w:rsidRDefault="00D40614" w:rsidP="00D40614">
      <w:pPr>
        <w:rPr>
          <w:rFonts w:ascii="Arial" w:hAnsi="Arial"/>
          <w:snapToGrid w:val="0"/>
        </w:rPr>
      </w:pPr>
    </w:p>
    <w:p w:rsidR="00D40614" w:rsidRPr="00F8562B" w:rsidRDefault="00D40614" w:rsidP="00D40614">
      <w:pPr>
        <w:rPr>
          <w:lang w:val="en-US"/>
        </w:rPr>
      </w:pPr>
      <w:bookmarkStart w:id="9" w:name="_3._Interpretation"/>
      <w:bookmarkEnd w:id="9"/>
      <w:r w:rsidRPr="009E2AF1">
        <w:t>Where evidence emerges that an employee’s performance has fallen below the minimum standards expected of them</w:t>
      </w:r>
      <w:r>
        <w:t>,</w:t>
      </w:r>
      <w:r w:rsidRPr="009E2AF1">
        <w:t xml:space="preserve"> this will be discu</w:t>
      </w:r>
      <w:r>
        <w:t>ssed with the employee under</w:t>
      </w:r>
      <w:r w:rsidRPr="009E2AF1">
        <w:t xml:space="preserve"> the </w:t>
      </w:r>
      <w:hyperlink r:id="rId14" w:history="1">
        <w:r w:rsidRPr="00D75345">
          <w:t>Performance Management Policy</w:t>
        </w:r>
      </w:hyperlink>
      <w:r w:rsidRPr="00D75345">
        <w:t xml:space="preserve">. </w:t>
      </w:r>
      <w:r w:rsidRPr="009E2AF1">
        <w:t>The line manager or other appropriate manager, will:</w:t>
      </w:r>
    </w:p>
    <w:p w:rsidR="00D40614" w:rsidRPr="009E2AF1" w:rsidRDefault="00D40614" w:rsidP="00D40614"/>
    <w:p w:rsidR="00D40614" w:rsidRPr="009E2AF1" w:rsidRDefault="00D40614" w:rsidP="00D40614">
      <w:pPr>
        <w:pStyle w:val="NoSpacing"/>
        <w:numPr>
          <w:ilvl w:val="0"/>
          <w:numId w:val="35"/>
        </w:numPr>
      </w:pPr>
      <w:r>
        <w:t>S</w:t>
      </w:r>
      <w:r w:rsidRPr="009E2AF1">
        <w:t>et out the nature and seriousness of the concerns</w:t>
      </w:r>
      <w:r>
        <w:t>.</w:t>
      </w:r>
    </w:p>
    <w:p w:rsidR="00D40614" w:rsidRPr="009E2AF1" w:rsidRDefault="00D40614" w:rsidP="00D40614">
      <w:pPr>
        <w:pStyle w:val="NoSpacing"/>
        <w:numPr>
          <w:ilvl w:val="0"/>
          <w:numId w:val="35"/>
        </w:numPr>
      </w:pPr>
      <w:r>
        <w:t>C</w:t>
      </w:r>
      <w:r w:rsidRPr="009E2AF1">
        <w:t>onfirm any previous discussions/support</w:t>
      </w:r>
      <w:r>
        <w:t>.</w:t>
      </w:r>
    </w:p>
    <w:p w:rsidR="00D40614" w:rsidRDefault="00D40614" w:rsidP="00D40614">
      <w:pPr>
        <w:pStyle w:val="NoSpacing"/>
        <w:numPr>
          <w:ilvl w:val="0"/>
          <w:numId w:val="35"/>
        </w:numPr>
      </w:pPr>
      <w:r>
        <w:t>G</w:t>
      </w:r>
      <w:r w:rsidRPr="009E2AF1">
        <w:t xml:space="preserve">ive the employee the opportunity to comment </w:t>
      </w:r>
      <w:r>
        <w:t xml:space="preserve">on </w:t>
      </w:r>
      <w:r w:rsidRPr="009E2AF1">
        <w:t xml:space="preserve">and discuss </w:t>
      </w:r>
      <w:r>
        <w:t xml:space="preserve">the </w:t>
      </w:r>
      <w:r w:rsidRPr="009E2AF1">
        <w:t>concerns.</w:t>
      </w:r>
    </w:p>
    <w:p w:rsidR="00D40614" w:rsidRDefault="00D40614" w:rsidP="00D40614">
      <w:pPr>
        <w:pStyle w:val="NoSpacing"/>
      </w:pPr>
    </w:p>
    <w:p w:rsidR="00D40614" w:rsidRPr="00F8562B" w:rsidRDefault="00D40614" w:rsidP="00D40614">
      <w:pPr>
        <w:jc w:val="both"/>
      </w:pPr>
      <w:r w:rsidRPr="00F8562B">
        <w:t xml:space="preserve">A monitoring period will usually be set </w:t>
      </w:r>
      <w:r>
        <w:t>in which the line manager will:</w:t>
      </w:r>
    </w:p>
    <w:p w:rsidR="00D40614" w:rsidRPr="00F8562B" w:rsidRDefault="00D40614" w:rsidP="00D40614">
      <w:pPr>
        <w:ind w:left="720"/>
        <w:jc w:val="both"/>
      </w:pPr>
    </w:p>
    <w:p w:rsidR="00D40614" w:rsidRPr="00F8562B" w:rsidRDefault="00D40614" w:rsidP="00D40614">
      <w:pPr>
        <w:pStyle w:val="NoSpacing"/>
        <w:numPr>
          <w:ilvl w:val="0"/>
          <w:numId w:val="37"/>
        </w:numPr>
      </w:pPr>
      <w:r>
        <w:t>S</w:t>
      </w:r>
      <w:r w:rsidRPr="00F8562B">
        <w:t>et targets for future performance (in addition to existing</w:t>
      </w:r>
      <w:r>
        <w:t xml:space="preserve"> performance management targets).</w:t>
      </w:r>
    </w:p>
    <w:p w:rsidR="00D40614" w:rsidRPr="00F8562B" w:rsidRDefault="00D40614" w:rsidP="00D40614">
      <w:pPr>
        <w:pStyle w:val="NoSpacing"/>
        <w:numPr>
          <w:ilvl w:val="0"/>
          <w:numId w:val="37"/>
        </w:numPr>
      </w:pPr>
      <w:r>
        <w:t>A</w:t>
      </w:r>
      <w:r w:rsidRPr="00F8562B">
        <w:t>gree any further support with the employee</w:t>
      </w:r>
      <w:r>
        <w:t>.</w:t>
      </w:r>
    </w:p>
    <w:p w:rsidR="00D40614" w:rsidRPr="00F8562B" w:rsidRDefault="00D40614" w:rsidP="00D40614">
      <w:pPr>
        <w:pStyle w:val="NoSpacing"/>
        <w:numPr>
          <w:ilvl w:val="0"/>
          <w:numId w:val="37"/>
        </w:numPr>
      </w:pPr>
      <w:r>
        <w:t>M</w:t>
      </w:r>
      <w:r w:rsidRPr="00F8562B">
        <w:t>ake it clear how, and by whom, progress will be monitored and when it will be reviewed</w:t>
      </w:r>
      <w:r>
        <w:t>.</w:t>
      </w:r>
    </w:p>
    <w:p w:rsidR="00D40614" w:rsidRPr="00F8562B" w:rsidRDefault="00D40614" w:rsidP="00D40614">
      <w:pPr>
        <w:pStyle w:val="NoSpacing"/>
        <w:numPr>
          <w:ilvl w:val="0"/>
          <w:numId w:val="37"/>
        </w:numPr>
      </w:pPr>
      <w:r>
        <w:t>E</w:t>
      </w:r>
      <w:r w:rsidRPr="00F8562B">
        <w:t xml:space="preserve">xplain the consequences and process if no, or insufficient, improvement is made. </w:t>
      </w:r>
    </w:p>
    <w:p w:rsidR="00D40614" w:rsidRPr="00F8562B" w:rsidRDefault="00D40614" w:rsidP="00D40614">
      <w:pPr>
        <w:ind w:left="1080"/>
      </w:pPr>
    </w:p>
    <w:p w:rsidR="00D40614" w:rsidRPr="00815DBA" w:rsidRDefault="00D40614" w:rsidP="00D40614">
      <w:r w:rsidRPr="00F8562B">
        <w:t xml:space="preserve">The period of monitoring will </w:t>
      </w:r>
      <w:r>
        <w:t>normally be between 4-</w:t>
      </w:r>
      <w:r w:rsidRPr="00F8562B">
        <w:t>8 working</w:t>
      </w:r>
      <w:r>
        <w:t xml:space="preserve"> weeks; the precise length being determined by</w:t>
      </w:r>
      <w:r w:rsidRPr="00F8562B">
        <w:t xml:space="preserve"> the seriousness of the issues and individual circumstances.  Exceptionally, an extension </w:t>
      </w:r>
      <w:r>
        <w:t>of up to</w:t>
      </w:r>
      <w:r w:rsidRPr="00F8562B">
        <w:t xml:space="preserve"> 4 weeks may be granted, where there has been significant improvement or </w:t>
      </w:r>
      <w:r>
        <w:t xml:space="preserve">where </w:t>
      </w:r>
      <w:r w:rsidRPr="00F8562B">
        <w:t>there has been significant absence during the monitoring period.</w:t>
      </w:r>
    </w:p>
    <w:p w:rsidR="00D40614" w:rsidRDefault="00D40614" w:rsidP="00D40614">
      <w:pPr>
        <w:jc w:val="both"/>
        <w:rPr>
          <w:rFonts w:ascii="Arial" w:hAnsi="Arial"/>
        </w:rPr>
      </w:pPr>
    </w:p>
    <w:p w:rsidR="00D40614" w:rsidRPr="00D16B5A" w:rsidRDefault="00D40614" w:rsidP="00D40614">
      <w:pPr>
        <w:pStyle w:val="Heading2"/>
        <w:rPr>
          <w:rFonts w:asciiTheme="minorHAnsi" w:hAnsiTheme="minorHAnsi"/>
          <w:snapToGrid w:val="0"/>
          <w:color w:val="auto"/>
          <w:sz w:val="22"/>
          <w:szCs w:val="22"/>
        </w:rPr>
      </w:pPr>
      <w:bookmarkStart w:id="10" w:name="_Toc390760088"/>
      <w:bookmarkStart w:id="11" w:name="_Toc485989702"/>
      <w:r w:rsidRPr="00D16B5A">
        <w:rPr>
          <w:rFonts w:asciiTheme="minorHAnsi" w:hAnsiTheme="minorHAnsi"/>
          <w:snapToGrid w:val="0"/>
          <w:color w:val="auto"/>
          <w:sz w:val="22"/>
          <w:szCs w:val="22"/>
        </w:rPr>
        <w:t>2.2 Formal Capability Procedure</w:t>
      </w:r>
      <w:bookmarkEnd w:id="10"/>
      <w:bookmarkEnd w:id="11"/>
    </w:p>
    <w:p w:rsidR="00D40614" w:rsidRDefault="00D40614" w:rsidP="00D40614">
      <w:pPr>
        <w:jc w:val="both"/>
        <w:rPr>
          <w:rFonts w:ascii="Arial" w:hAnsi="Arial"/>
        </w:rPr>
      </w:pPr>
    </w:p>
    <w:p w:rsidR="00D40614" w:rsidRDefault="00D40614" w:rsidP="00D40614">
      <w:r w:rsidRPr="00E942F9">
        <w:t xml:space="preserve">In the most severe cases, and where there has been insufficient improvement following any monitoring period, the Performance Management Process will be suspended and the Formal Capability Procedure will be invoked.  </w:t>
      </w:r>
    </w:p>
    <w:p w:rsidR="00D40614" w:rsidRDefault="00D40614" w:rsidP="00D40614"/>
    <w:p w:rsidR="00D40614" w:rsidRPr="00E942F9" w:rsidRDefault="00D40614" w:rsidP="00D40614">
      <w:r w:rsidRPr="00E942F9">
        <w:t xml:space="preserve">The employee will be called </w:t>
      </w:r>
      <w:r>
        <w:t xml:space="preserve">to a Formal Capability Meeting </w:t>
      </w:r>
      <w:r w:rsidRPr="00E942F9">
        <w:t xml:space="preserve">conducted by an appropriate manager. This will be the </w:t>
      </w:r>
      <w:r>
        <w:t>Principal</w:t>
      </w:r>
      <w:r w:rsidRPr="00E942F9">
        <w:t xml:space="preserve"> where there have been previous warnings and dismissal is therefore a</w:t>
      </w:r>
      <w:r>
        <w:rPr>
          <w:rFonts w:ascii="Arial" w:hAnsi="Arial"/>
        </w:rPr>
        <w:t xml:space="preserve"> </w:t>
      </w:r>
      <w:r w:rsidRPr="00E942F9">
        <w:t>possible outcome.</w:t>
      </w:r>
      <w:r>
        <w:t xml:space="preserve"> </w:t>
      </w:r>
      <w:r w:rsidRPr="00E942F9">
        <w:t xml:space="preserve">Where the </w:t>
      </w:r>
      <w:r>
        <w:t>Principal</w:t>
      </w:r>
      <w:r w:rsidRPr="00E942F9">
        <w:t xml:space="preserve"> is the subject of the procedure</w:t>
      </w:r>
      <w:r>
        <w:t>,</w:t>
      </w:r>
      <w:r w:rsidRPr="00E942F9">
        <w:t xml:space="preserve"> the meeting will be conducted by </w:t>
      </w:r>
      <w:r>
        <w:t xml:space="preserve">CEO. Where the CEO </w:t>
      </w:r>
      <w:r w:rsidRPr="00E942F9">
        <w:t>is the subject of the procedure</w:t>
      </w:r>
      <w:r>
        <w:t>,</w:t>
      </w:r>
      <w:r w:rsidRPr="00E942F9">
        <w:t xml:space="preserve"> the meeting will be conducted by </w:t>
      </w:r>
      <w:r>
        <w:t>Chair of Trustees.</w:t>
      </w:r>
      <w:r w:rsidRPr="00E942F9">
        <w:t xml:space="preserve"> </w:t>
      </w:r>
    </w:p>
    <w:p w:rsidR="00D40614" w:rsidRDefault="00D40614" w:rsidP="00D40614">
      <w:pPr>
        <w:ind w:left="720" w:hanging="720"/>
        <w:rPr>
          <w:rFonts w:ascii="Arial" w:hAnsi="Arial"/>
        </w:rPr>
      </w:pPr>
    </w:p>
    <w:p w:rsidR="000B64F3" w:rsidRDefault="000B64F3" w:rsidP="000B64F3">
      <w:pPr>
        <w:ind w:left="720" w:hanging="720"/>
        <w:rPr>
          <w:rFonts w:ascii="Arial" w:hAnsi="Arial"/>
        </w:rPr>
      </w:pPr>
    </w:p>
    <w:p w:rsidR="000B64F3" w:rsidRPr="00F31BEB" w:rsidRDefault="000B64F3" w:rsidP="00F31BEB">
      <w:r w:rsidRPr="00F31BEB">
        <w:t xml:space="preserve">The employee will be given at least five working days' notice, in writing, of the date, time and place of the meeting.  When given this notice, the employee will be: </w:t>
      </w:r>
    </w:p>
    <w:p w:rsidR="00F31BEB" w:rsidRPr="00F31BEB" w:rsidRDefault="00F31BEB" w:rsidP="00F31BEB"/>
    <w:p w:rsidR="000B64F3" w:rsidRPr="00F31BEB" w:rsidRDefault="00F31BEB" w:rsidP="00F31BEB">
      <w:pPr>
        <w:pStyle w:val="NoSpacing"/>
        <w:numPr>
          <w:ilvl w:val="0"/>
          <w:numId w:val="39"/>
        </w:numPr>
      </w:pPr>
      <w:r>
        <w:t>I</w:t>
      </w:r>
      <w:r w:rsidR="000B64F3" w:rsidRPr="00F31BEB">
        <w:t>nformed of the nature and details of the concerns</w:t>
      </w:r>
      <w:r>
        <w:t>.</w:t>
      </w:r>
    </w:p>
    <w:p w:rsidR="00F31BEB" w:rsidRDefault="00F31BEB" w:rsidP="00724191">
      <w:pPr>
        <w:pStyle w:val="NoSpacing"/>
        <w:numPr>
          <w:ilvl w:val="0"/>
          <w:numId w:val="39"/>
        </w:numPr>
      </w:pPr>
      <w:r>
        <w:t>I</w:t>
      </w:r>
      <w:r w:rsidR="000B64F3" w:rsidRPr="00F31BEB">
        <w:t>nformed of his/her right to be accompanied at the meeting by a</w:t>
      </w:r>
      <w:r>
        <w:t xml:space="preserve"> representative.</w:t>
      </w:r>
    </w:p>
    <w:p w:rsidR="000B64F3" w:rsidRPr="00F31BEB" w:rsidRDefault="00F31BEB" w:rsidP="00724191">
      <w:pPr>
        <w:pStyle w:val="NoSpacing"/>
        <w:numPr>
          <w:ilvl w:val="0"/>
          <w:numId w:val="39"/>
        </w:numPr>
      </w:pPr>
      <w:r>
        <w:t>S</w:t>
      </w:r>
      <w:r w:rsidR="000B64F3" w:rsidRPr="00F31BEB">
        <w:t xml:space="preserve">upplied with a copy of the evidence which is </w:t>
      </w:r>
      <w:r w:rsidR="001F6FD2">
        <w:t>to be considered at the meeting.</w:t>
      </w:r>
      <w:r w:rsidR="000B64F3" w:rsidRPr="00F31BEB">
        <w:t xml:space="preserve"> </w:t>
      </w:r>
    </w:p>
    <w:p w:rsidR="000B64F3" w:rsidRPr="00F31BEB" w:rsidRDefault="00F31BEB" w:rsidP="00F31BEB">
      <w:pPr>
        <w:pStyle w:val="NoSpacing"/>
        <w:numPr>
          <w:ilvl w:val="0"/>
          <w:numId w:val="39"/>
        </w:numPr>
      </w:pPr>
      <w:r>
        <w:t>G</w:t>
      </w:r>
      <w:r w:rsidR="000B64F3" w:rsidRPr="00F31BEB">
        <w:t>iven an indication of the possible penalty which could be imposed if the concerns are found to be substantiated, e.g. a formal warning or termination of employment by dismissal where pre</w:t>
      </w:r>
      <w:r>
        <w:t>vious warnings have been issued.</w:t>
      </w:r>
    </w:p>
    <w:p w:rsidR="000B64F3" w:rsidRPr="00F31BEB" w:rsidRDefault="00F31BEB" w:rsidP="00F31BEB">
      <w:pPr>
        <w:pStyle w:val="NoSpacing"/>
        <w:numPr>
          <w:ilvl w:val="0"/>
          <w:numId w:val="39"/>
        </w:numPr>
      </w:pPr>
      <w:r>
        <w:t>I</w:t>
      </w:r>
      <w:r w:rsidR="000B64F3" w:rsidRPr="00F31BEB">
        <w:t>nformed who will be involved in the meeting</w:t>
      </w:r>
      <w:r>
        <w:t>,</w:t>
      </w:r>
      <w:r w:rsidR="000B64F3" w:rsidRPr="00F31BEB">
        <w:t xml:space="preserve"> including the name of any advisers.</w:t>
      </w:r>
    </w:p>
    <w:p w:rsidR="000B64F3" w:rsidRPr="00F31BEB" w:rsidRDefault="000B64F3" w:rsidP="000B64F3">
      <w:pPr>
        <w:ind w:left="1440"/>
      </w:pPr>
    </w:p>
    <w:p w:rsidR="000B64F3" w:rsidRDefault="000B64F3" w:rsidP="00F31BEB">
      <w:r w:rsidRPr="00F31BEB">
        <w:t>Not later than two working days before the meeting the employee:</w:t>
      </w:r>
    </w:p>
    <w:p w:rsidR="00F31BEB" w:rsidRPr="00F31BEB" w:rsidRDefault="00F31BEB" w:rsidP="00F31BEB"/>
    <w:p w:rsidR="000B64F3" w:rsidRPr="00F31BEB" w:rsidRDefault="00F31BEB" w:rsidP="00F31BEB">
      <w:pPr>
        <w:pStyle w:val="NoSpacing"/>
        <w:numPr>
          <w:ilvl w:val="0"/>
          <w:numId w:val="40"/>
        </w:numPr>
      </w:pPr>
      <w:r>
        <w:t>M</w:t>
      </w:r>
      <w:r w:rsidR="000B64F3" w:rsidRPr="00F31BEB">
        <w:t>ust supply the name and s</w:t>
      </w:r>
      <w:r>
        <w:t>tatus of his/her representative.</w:t>
      </w:r>
    </w:p>
    <w:p w:rsidR="000B64F3" w:rsidRPr="00F31BEB" w:rsidRDefault="00F31BEB" w:rsidP="00F31BEB">
      <w:pPr>
        <w:pStyle w:val="NoSpacing"/>
        <w:numPr>
          <w:ilvl w:val="0"/>
          <w:numId w:val="40"/>
        </w:numPr>
      </w:pPr>
      <w:r>
        <w:t>M</w:t>
      </w:r>
      <w:r w:rsidR="000B64F3" w:rsidRPr="00F31BEB">
        <w:t>ay submit a written statement or other supporting written evidence if s/he wishes, either direct or through his/her representative.</w:t>
      </w:r>
    </w:p>
    <w:p w:rsidR="000B64F3" w:rsidRPr="00F31BEB" w:rsidRDefault="000B64F3" w:rsidP="000B64F3">
      <w:pPr>
        <w:ind w:left="1440"/>
      </w:pPr>
    </w:p>
    <w:p w:rsidR="00F31BEB" w:rsidRDefault="000B64F3" w:rsidP="000B64F3">
      <w:r w:rsidRPr="00F31BEB">
        <w:t>At the meeting the concerns will be explained to the employee and they will have the opportunity to make representations.</w:t>
      </w:r>
      <w:r w:rsidR="00E942F9" w:rsidRPr="00E942F9">
        <w:t xml:space="preserve"> An employee is entitled to be accompanied by a trade union/professional association representative, colleague, friend or other appropriate person, at all stages of the formal procedure.  The employee must make his/her own arrangements for this.</w:t>
      </w:r>
    </w:p>
    <w:p w:rsidR="00F31BEB" w:rsidRPr="00F31BEB" w:rsidRDefault="00F31BEB" w:rsidP="00F31BEB">
      <w:pPr>
        <w:pStyle w:val="NoSpacing"/>
      </w:pPr>
    </w:p>
    <w:p w:rsidR="00F31BEB" w:rsidRPr="00D16B5A" w:rsidRDefault="00F31BEB" w:rsidP="00F31BEB">
      <w:pPr>
        <w:pStyle w:val="Heading2"/>
        <w:rPr>
          <w:rFonts w:asciiTheme="minorHAnsi" w:hAnsiTheme="minorHAnsi"/>
          <w:snapToGrid w:val="0"/>
          <w:color w:val="auto"/>
          <w:sz w:val="22"/>
          <w:szCs w:val="22"/>
        </w:rPr>
      </w:pPr>
      <w:bookmarkStart w:id="12" w:name="_Toc390760089"/>
      <w:bookmarkStart w:id="13" w:name="_Toc485989703"/>
      <w:r w:rsidRPr="00D16B5A">
        <w:rPr>
          <w:rFonts w:asciiTheme="minorHAnsi" w:hAnsiTheme="minorHAnsi"/>
          <w:snapToGrid w:val="0"/>
          <w:color w:val="auto"/>
          <w:sz w:val="22"/>
          <w:szCs w:val="22"/>
        </w:rPr>
        <w:t>2.3 Outcomes</w:t>
      </w:r>
      <w:bookmarkEnd w:id="12"/>
      <w:bookmarkEnd w:id="13"/>
    </w:p>
    <w:p w:rsidR="000B64F3" w:rsidRPr="00065E5B" w:rsidRDefault="000B64F3" w:rsidP="000B64F3">
      <w:pPr>
        <w:rPr>
          <w:rFonts w:ascii="Arial" w:hAnsi="Arial"/>
        </w:rPr>
      </w:pPr>
    </w:p>
    <w:p w:rsidR="000B64F3" w:rsidRDefault="000B64F3" w:rsidP="000B64F3">
      <w:r w:rsidRPr="00F31BEB">
        <w:t>Where the concerns are substantiated the following decisions may be made:</w:t>
      </w:r>
    </w:p>
    <w:p w:rsidR="0005350D" w:rsidRDefault="0005350D" w:rsidP="000B64F3"/>
    <w:tbl>
      <w:tblPr>
        <w:tblStyle w:val="TableGrid"/>
        <w:tblW w:w="0" w:type="auto"/>
        <w:tblLook w:val="04A0" w:firstRow="1" w:lastRow="0" w:firstColumn="1" w:lastColumn="0" w:noHBand="0" w:noVBand="1"/>
      </w:tblPr>
      <w:tblGrid>
        <w:gridCol w:w="4508"/>
        <w:gridCol w:w="4508"/>
      </w:tblGrid>
      <w:tr w:rsidR="0005350D" w:rsidTr="0005350D">
        <w:tc>
          <w:tcPr>
            <w:tcW w:w="4508" w:type="dxa"/>
            <w:shd w:val="clear" w:color="auto" w:fill="D9D9D9" w:themeFill="background1" w:themeFillShade="D9"/>
          </w:tcPr>
          <w:p w:rsidR="0005350D" w:rsidRPr="0005350D" w:rsidRDefault="0005350D" w:rsidP="0005350D">
            <w:pPr>
              <w:jc w:val="center"/>
              <w:rPr>
                <w:b/>
              </w:rPr>
            </w:pPr>
            <w:r>
              <w:rPr>
                <w:b/>
              </w:rPr>
              <w:t>Substantiated Nature of Concerns</w:t>
            </w:r>
          </w:p>
        </w:tc>
        <w:tc>
          <w:tcPr>
            <w:tcW w:w="4508" w:type="dxa"/>
            <w:shd w:val="clear" w:color="auto" w:fill="D9D9D9" w:themeFill="background1" w:themeFillShade="D9"/>
          </w:tcPr>
          <w:p w:rsidR="0005350D" w:rsidRPr="0005350D" w:rsidRDefault="0005350D" w:rsidP="0005350D">
            <w:pPr>
              <w:jc w:val="center"/>
              <w:rPr>
                <w:b/>
              </w:rPr>
            </w:pPr>
            <w:r w:rsidRPr="0005350D">
              <w:rPr>
                <w:b/>
              </w:rPr>
              <w:t>Outcome</w:t>
            </w:r>
            <w:r>
              <w:rPr>
                <w:b/>
              </w:rPr>
              <w:t>/Decision</w:t>
            </w:r>
          </w:p>
        </w:tc>
      </w:tr>
      <w:tr w:rsidR="0005350D" w:rsidTr="0005350D">
        <w:tc>
          <w:tcPr>
            <w:tcW w:w="4508" w:type="dxa"/>
          </w:tcPr>
          <w:p w:rsidR="0005350D" w:rsidRDefault="0005350D" w:rsidP="0005350D">
            <w:pPr>
              <w:tabs>
                <w:tab w:val="left" w:pos="720"/>
                <w:tab w:val="left" w:pos="1440"/>
              </w:tabs>
            </w:pPr>
            <w:r>
              <w:t>W</w:t>
            </w:r>
            <w:r w:rsidRPr="00F31BEB">
              <w:t>here there is serious concern about the standard of performance or there has been insufficient progress following a period of monitoring (4-8 weeks).</w:t>
            </w:r>
          </w:p>
        </w:tc>
        <w:tc>
          <w:tcPr>
            <w:tcW w:w="4508" w:type="dxa"/>
          </w:tcPr>
          <w:p w:rsidR="0005350D" w:rsidRDefault="0005350D" w:rsidP="000B64F3">
            <w:r w:rsidRPr="00F31BEB">
              <w:t xml:space="preserve">Written warning (normally for one year) and a </w:t>
            </w:r>
            <w:r>
              <w:t xml:space="preserve">continuation of the </w:t>
            </w:r>
            <w:r w:rsidRPr="00F31BEB">
              <w:t>formal monitoring period</w:t>
            </w:r>
            <w:r>
              <w:t xml:space="preserve"> for a further 4-8 weeks</w:t>
            </w:r>
            <w:r w:rsidRPr="00F31BEB">
              <w:t>.</w:t>
            </w:r>
          </w:p>
        </w:tc>
      </w:tr>
      <w:tr w:rsidR="0005350D" w:rsidTr="0005350D">
        <w:tc>
          <w:tcPr>
            <w:tcW w:w="4508" w:type="dxa"/>
          </w:tcPr>
          <w:p w:rsidR="0005350D" w:rsidRDefault="0005350D" w:rsidP="000B64F3">
            <w:r>
              <w:t>W</w:t>
            </w:r>
            <w:r w:rsidRPr="00F31BEB">
              <w:t>here the concerns are particularly serious or there has been insufficient progress following a previous warning or period of monitoring (4-8 weeks)</w:t>
            </w:r>
            <w:r>
              <w:t>.</w:t>
            </w:r>
          </w:p>
        </w:tc>
        <w:tc>
          <w:tcPr>
            <w:tcW w:w="4508" w:type="dxa"/>
          </w:tcPr>
          <w:p w:rsidR="0005350D" w:rsidRDefault="0005350D" w:rsidP="000B64F3">
            <w:r w:rsidRPr="00F31BEB">
              <w:t>Final Written Warning (normally for one year) and a formal monitoring period</w:t>
            </w:r>
            <w:r>
              <w:t xml:space="preserve"> for a further 4-8 weeks</w:t>
            </w:r>
            <w:r w:rsidRPr="00F31BEB">
              <w:t>.</w:t>
            </w:r>
          </w:p>
        </w:tc>
      </w:tr>
      <w:tr w:rsidR="0005350D" w:rsidTr="0005350D">
        <w:tc>
          <w:tcPr>
            <w:tcW w:w="4508" w:type="dxa"/>
          </w:tcPr>
          <w:p w:rsidR="001F6FD2" w:rsidRDefault="0005350D" w:rsidP="000B64F3">
            <w:r>
              <w:t>I</w:t>
            </w:r>
            <w:r w:rsidRPr="00F31BEB">
              <w:t>n the most serious cases where there has been:</w:t>
            </w:r>
            <w:r>
              <w:t xml:space="preserve"> </w:t>
            </w:r>
          </w:p>
          <w:p w:rsidR="001F6FD2" w:rsidRDefault="0005350D" w:rsidP="000B64F3">
            <w:r>
              <w:t xml:space="preserve">a) </w:t>
            </w:r>
            <w:r w:rsidR="001F6FD2">
              <w:t>N</w:t>
            </w:r>
            <w:r w:rsidRPr="00F31BEB">
              <w:t>o progress following a previous warning/period of monitoring</w:t>
            </w:r>
            <w:r w:rsidR="001F6FD2">
              <w:t>.</w:t>
            </w:r>
          </w:p>
          <w:p w:rsidR="0005350D" w:rsidRDefault="0005350D" w:rsidP="000B64F3">
            <w:r>
              <w:t xml:space="preserve">b) </w:t>
            </w:r>
            <w:r w:rsidR="001F6FD2">
              <w:t>I</w:t>
            </w:r>
            <w:r w:rsidRPr="00F31BEB">
              <w:t>nsufficient progress following a final written warning.</w:t>
            </w:r>
          </w:p>
        </w:tc>
        <w:tc>
          <w:tcPr>
            <w:tcW w:w="4508" w:type="dxa"/>
          </w:tcPr>
          <w:p w:rsidR="0005350D" w:rsidRPr="0005350D" w:rsidRDefault="0005350D" w:rsidP="0005350D">
            <w:r w:rsidRPr="00F31BEB">
              <w:t>Dismissal with notice</w:t>
            </w:r>
            <w:r>
              <w:t xml:space="preserve">. </w:t>
            </w:r>
            <w:r w:rsidRPr="0005350D">
              <w:t xml:space="preserve">Employees will normally be placed on paid suspension for the period of notice, </w:t>
            </w:r>
            <w:r>
              <w:t>pending any appeal.</w:t>
            </w:r>
          </w:p>
          <w:p w:rsidR="0005350D" w:rsidRDefault="0005350D" w:rsidP="000B64F3"/>
        </w:tc>
      </w:tr>
    </w:tbl>
    <w:p w:rsidR="000B64F3" w:rsidRDefault="000B64F3" w:rsidP="000B64F3">
      <w:pPr>
        <w:rPr>
          <w:rFonts w:ascii="Arial" w:hAnsi="Arial"/>
        </w:rPr>
      </w:pPr>
    </w:p>
    <w:p w:rsidR="00D40614" w:rsidRDefault="00D40614" w:rsidP="00D40614">
      <w:r w:rsidRPr="00914E0E">
        <w:t>Where a warning is determined, the employee will be informed, normally at the end of the meeting, and in any case, in writing</w:t>
      </w:r>
      <w:r>
        <w:t>,</w:t>
      </w:r>
      <w:r w:rsidRPr="00914E0E">
        <w:t xml:space="preserve"> of:</w:t>
      </w:r>
    </w:p>
    <w:p w:rsidR="00D40614" w:rsidRPr="00914E0E" w:rsidRDefault="00D40614" w:rsidP="00D40614">
      <w:pPr>
        <w:ind w:left="720" w:hanging="720"/>
      </w:pPr>
    </w:p>
    <w:p w:rsidR="00D40614" w:rsidRPr="00914E0E" w:rsidRDefault="00D40614" w:rsidP="00D40614">
      <w:pPr>
        <w:pStyle w:val="NoSpacing"/>
        <w:numPr>
          <w:ilvl w:val="0"/>
          <w:numId w:val="39"/>
        </w:numPr>
      </w:pPr>
      <w:r>
        <w:t>T</w:t>
      </w:r>
      <w:r w:rsidRPr="00914E0E">
        <w:t xml:space="preserve">he nature </w:t>
      </w:r>
      <w:r>
        <w:t>and seriousness of the concerns.</w:t>
      </w:r>
    </w:p>
    <w:p w:rsidR="00D40614" w:rsidRPr="00914E0E" w:rsidRDefault="00D40614" w:rsidP="00D40614">
      <w:pPr>
        <w:pStyle w:val="NoSpacing"/>
        <w:numPr>
          <w:ilvl w:val="0"/>
          <w:numId w:val="39"/>
        </w:numPr>
      </w:pPr>
      <w:r>
        <w:t>T</w:t>
      </w:r>
      <w:r w:rsidRPr="00914E0E">
        <w:t>he improvement in performance that is required during the formal monitoring period to remove them from the formal process (i.e.</w:t>
      </w:r>
      <w:r>
        <w:t xml:space="preserve"> through set targets).</w:t>
      </w:r>
    </w:p>
    <w:p w:rsidR="00D40614" w:rsidRPr="00914E0E" w:rsidRDefault="00D40614" w:rsidP="00D40614">
      <w:pPr>
        <w:pStyle w:val="NoSpacing"/>
        <w:numPr>
          <w:ilvl w:val="0"/>
          <w:numId w:val="39"/>
        </w:numPr>
      </w:pPr>
      <w:r>
        <w:t>T</w:t>
      </w:r>
      <w:r w:rsidRPr="00914E0E">
        <w:t>he support that will be available to h</w:t>
      </w:r>
      <w:r>
        <w:t>elp the member of staff improve.</w:t>
      </w:r>
    </w:p>
    <w:p w:rsidR="00D40614" w:rsidRPr="00914E0E" w:rsidRDefault="00D40614" w:rsidP="00D40614">
      <w:pPr>
        <w:pStyle w:val="NoSpacing"/>
        <w:numPr>
          <w:ilvl w:val="0"/>
          <w:numId w:val="39"/>
        </w:numPr>
      </w:pPr>
      <w:r>
        <w:lastRenderedPageBreak/>
        <w:t>T</w:t>
      </w:r>
      <w:r w:rsidRPr="00914E0E">
        <w:t>he end date of the formal monitoring period and how performance will be monitored during this period, including any review</w:t>
      </w:r>
      <w:r>
        <w:t xml:space="preserve"> dates.</w:t>
      </w:r>
    </w:p>
    <w:p w:rsidR="00D40614" w:rsidRPr="00914E0E" w:rsidRDefault="00D40614" w:rsidP="00D40614">
      <w:pPr>
        <w:pStyle w:val="NoSpacing"/>
        <w:numPr>
          <w:ilvl w:val="0"/>
          <w:numId w:val="39"/>
        </w:numPr>
      </w:pPr>
      <w:r>
        <w:t>T</w:t>
      </w:r>
      <w:r w:rsidRPr="00914E0E">
        <w:t xml:space="preserve">he fact that any pay progression due at the next pay </w:t>
      </w:r>
      <w:r>
        <w:t>review is likely to be withheld.</w:t>
      </w:r>
    </w:p>
    <w:p w:rsidR="00D40614" w:rsidRDefault="00D40614" w:rsidP="00D40614">
      <w:pPr>
        <w:pStyle w:val="NoSpacing"/>
        <w:numPr>
          <w:ilvl w:val="0"/>
          <w:numId w:val="39"/>
        </w:numPr>
      </w:pPr>
      <w:r>
        <w:t>T</w:t>
      </w:r>
      <w:r w:rsidRPr="00914E0E">
        <w:t>he consequences of failure to i</w:t>
      </w:r>
      <w:r>
        <w:t>mprove to the required standard.</w:t>
      </w:r>
    </w:p>
    <w:p w:rsidR="001F6FD2" w:rsidRDefault="00D40614" w:rsidP="000B64F3">
      <w:pPr>
        <w:pStyle w:val="NoSpacing"/>
        <w:numPr>
          <w:ilvl w:val="0"/>
          <w:numId w:val="39"/>
        </w:numPr>
      </w:pPr>
      <w:r>
        <w:t>I</w:t>
      </w:r>
      <w:r w:rsidRPr="00914E0E">
        <w:t>n the case of a formal warning or dismissal the employee will also be notified of his/her right of appeal</w:t>
      </w:r>
      <w:r>
        <w:t>.</w:t>
      </w:r>
    </w:p>
    <w:p w:rsidR="00D40614" w:rsidRDefault="00D40614" w:rsidP="00D40614">
      <w:pPr>
        <w:pStyle w:val="NoSpacing"/>
      </w:pPr>
    </w:p>
    <w:p w:rsidR="00D40614" w:rsidRDefault="00D40614" w:rsidP="00D40614">
      <w:r w:rsidRPr="00914E0E">
        <w:t>In the case of dismissal, employees will normally be placed on paid suspension for the period of notice, pending any appeal by them.</w:t>
      </w:r>
    </w:p>
    <w:p w:rsidR="00D40614" w:rsidRPr="00D40614" w:rsidRDefault="00D40614" w:rsidP="00D40614">
      <w:pPr>
        <w:pStyle w:val="NoSpacing"/>
      </w:pPr>
    </w:p>
    <w:p w:rsidR="0005350D" w:rsidRPr="00D16B5A" w:rsidRDefault="005F3930" w:rsidP="0005350D">
      <w:pPr>
        <w:pStyle w:val="Heading2"/>
        <w:rPr>
          <w:rFonts w:asciiTheme="minorHAnsi" w:hAnsiTheme="minorHAnsi"/>
          <w:snapToGrid w:val="0"/>
          <w:color w:val="auto"/>
          <w:sz w:val="22"/>
          <w:szCs w:val="22"/>
        </w:rPr>
      </w:pPr>
      <w:bookmarkStart w:id="14" w:name="_Toc390760090"/>
      <w:bookmarkStart w:id="15" w:name="_Toc485989704"/>
      <w:r w:rsidRPr="00D16B5A">
        <w:rPr>
          <w:rFonts w:asciiTheme="minorHAnsi" w:hAnsiTheme="minorHAnsi"/>
          <w:snapToGrid w:val="0"/>
          <w:color w:val="auto"/>
          <w:sz w:val="22"/>
          <w:szCs w:val="22"/>
        </w:rPr>
        <w:t>2.4</w:t>
      </w:r>
      <w:r w:rsidR="0005350D" w:rsidRPr="00D16B5A">
        <w:rPr>
          <w:rFonts w:asciiTheme="minorHAnsi" w:hAnsiTheme="minorHAnsi"/>
          <w:snapToGrid w:val="0"/>
          <w:color w:val="auto"/>
          <w:sz w:val="22"/>
          <w:szCs w:val="22"/>
        </w:rPr>
        <w:t xml:space="preserve"> Appeals</w:t>
      </w:r>
      <w:bookmarkEnd w:id="14"/>
      <w:bookmarkEnd w:id="15"/>
    </w:p>
    <w:p w:rsidR="000B64F3" w:rsidRDefault="000B64F3" w:rsidP="000B64F3">
      <w:pPr>
        <w:rPr>
          <w:rFonts w:ascii="Arial" w:hAnsi="Arial"/>
        </w:rPr>
      </w:pPr>
    </w:p>
    <w:p w:rsidR="000B64F3" w:rsidRPr="0005350D" w:rsidRDefault="000B64F3" w:rsidP="0005350D">
      <w:r w:rsidRPr="0005350D">
        <w:t>An employee has a right of appeal against any warning/dismissal.  An employee may forego his/her right to appeal.</w:t>
      </w:r>
    </w:p>
    <w:p w:rsidR="000B64F3" w:rsidRPr="0005350D" w:rsidRDefault="000B64F3" w:rsidP="000B64F3"/>
    <w:p w:rsidR="000B64F3" w:rsidRPr="0005350D" w:rsidRDefault="000B64F3" w:rsidP="0005350D">
      <w:r w:rsidRPr="0005350D">
        <w:t xml:space="preserve">Notice of any appeal must be given in writing to the </w:t>
      </w:r>
      <w:r w:rsidR="0005350D" w:rsidRPr="0005350D">
        <w:t>Principal</w:t>
      </w:r>
      <w:r w:rsidR="00D40614">
        <w:t>, or in the case of the Principal, the CEO, or in the case of the CEO, the Chair of Trustees,</w:t>
      </w:r>
      <w:r w:rsidRPr="0005350D">
        <w:t xml:space="preserve"> within five working days of receipt of the written notification by the employee of the outcome of the formal meeting, clearly stating the grounds upon which the appeal is made.  </w:t>
      </w:r>
    </w:p>
    <w:p w:rsidR="000B64F3" w:rsidRPr="00E52336" w:rsidRDefault="000B64F3" w:rsidP="000B64F3">
      <w:pPr>
        <w:ind w:left="360"/>
        <w:rPr>
          <w:rFonts w:ascii="Arial" w:hAnsi="Arial"/>
          <w:snapToGrid w:val="0"/>
          <w:sz w:val="20"/>
          <w:szCs w:val="20"/>
        </w:rPr>
      </w:pPr>
    </w:p>
    <w:p w:rsidR="000B64F3" w:rsidRDefault="000B64F3" w:rsidP="0005350D">
      <w:r w:rsidRPr="0005350D">
        <w:t xml:space="preserve">Appeals will be heard </w:t>
      </w:r>
      <w:r w:rsidR="00D40614">
        <w:t xml:space="preserve">the </w:t>
      </w:r>
      <w:r w:rsidR="00774E8A">
        <w:t xml:space="preserve">Disciplinary </w:t>
      </w:r>
      <w:r w:rsidR="00D40614">
        <w:t xml:space="preserve">Appeals Committee. </w:t>
      </w:r>
      <w:r w:rsidRPr="0005350D">
        <w:t>The decision of those hearing the appeal is final, subject to the employee’s rights at law.</w:t>
      </w:r>
      <w:bookmarkStart w:id="16" w:name="_Toc269898018"/>
    </w:p>
    <w:p w:rsidR="00D40614" w:rsidRDefault="00D40614" w:rsidP="0005350D"/>
    <w:p w:rsidR="00D40614" w:rsidRDefault="00D40614" w:rsidP="00D40614">
      <w:pPr>
        <w:ind w:left="720" w:hanging="720"/>
      </w:pPr>
      <w:r w:rsidRPr="00914E0E">
        <w:t>The procedures and conduct of appeals shall be t</w:t>
      </w:r>
      <w:r>
        <w:t>he same as for formal meetings.</w:t>
      </w:r>
    </w:p>
    <w:p w:rsidR="00FB5F78" w:rsidRPr="0005350D" w:rsidRDefault="00FB5F78" w:rsidP="0005350D"/>
    <w:p w:rsidR="00FB5F78" w:rsidRPr="00D16B5A" w:rsidRDefault="005F3930" w:rsidP="00FB5F78">
      <w:pPr>
        <w:pStyle w:val="Heading2"/>
        <w:rPr>
          <w:rFonts w:asciiTheme="minorHAnsi" w:hAnsiTheme="minorHAnsi"/>
          <w:snapToGrid w:val="0"/>
          <w:color w:val="auto"/>
          <w:sz w:val="22"/>
          <w:szCs w:val="22"/>
        </w:rPr>
      </w:pPr>
      <w:bookmarkStart w:id="17" w:name="_Toc390760091"/>
      <w:bookmarkStart w:id="18" w:name="_Toc485989705"/>
      <w:bookmarkEnd w:id="16"/>
      <w:r w:rsidRPr="00D16B5A">
        <w:rPr>
          <w:rFonts w:asciiTheme="minorHAnsi" w:hAnsiTheme="minorHAnsi"/>
          <w:snapToGrid w:val="0"/>
          <w:color w:val="auto"/>
          <w:sz w:val="22"/>
          <w:szCs w:val="22"/>
        </w:rPr>
        <w:t>2.5</w:t>
      </w:r>
      <w:r w:rsidR="00FB5F78" w:rsidRPr="00D16B5A">
        <w:rPr>
          <w:rFonts w:asciiTheme="minorHAnsi" w:hAnsiTheme="minorHAnsi"/>
          <w:snapToGrid w:val="0"/>
          <w:color w:val="auto"/>
          <w:sz w:val="22"/>
          <w:szCs w:val="22"/>
        </w:rPr>
        <w:t xml:space="preserve"> Records</w:t>
      </w:r>
      <w:bookmarkEnd w:id="17"/>
      <w:bookmarkEnd w:id="18"/>
    </w:p>
    <w:p w:rsidR="000B64F3" w:rsidRPr="00892AB6" w:rsidRDefault="000B64F3" w:rsidP="000B64F3">
      <w:pPr>
        <w:rPr>
          <w:rFonts w:ascii="Arial" w:hAnsi="Arial"/>
          <w:b/>
          <w:snapToGrid w:val="0"/>
        </w:rPr>
      </w:pPr>
    </w:p>
    <w:p w:rsidR="000B64F3" w:rsidRPr="00FB5F78" w:rsidRDefault="000B64F3" w:rsidP="00FB5F78">
      <w:r w:rsidRPr="00FB5F78">
        <w:t>Notes of formal meetings and appeal hearings will be taken and shared with the employee as soon as possible after the meeting/hearing.  The employee has the right to challenge the accuracy of any minutes and to have these recorded.</w:t>
      </w:r>
    </w:p>
    <w:p w:rsidR="000B64F3" w:rsidRPr="00FB5F78" w:rsidRDefault="000B64F3" w:rsidP="000B64F3">
      <w:pPr>
        <w:ind w:left="720" w:hanging="720"/>
      </w:pPr>
    </w:p>
    <w:p w:rsidR="000B64F3" w:rsidRPr="00FB5F78" w:rsidRDefault="00D40614" w:rsidP="00FB5F78">
      <w:r>
        <w:rPr>
          <w:snapToGrid w:val="0"/>
        </w:rPr>
        <w:t>Except as necessary as a reasonable adjustment</w:t>
      </w:r>
      <w:r>
        <w:t>, n</w:t>
      </w:r>
      <w:r w:rsidR="000B64F3" w:rsidRPr="00FB5F78">
        <w:t xml:space="preserve">o-one may record meetings or hearings, except for the Clerk, to assist with producing the minutes, where permission is given by all parties.  </w:t>
      </w:r>
    </w:p>
    <w:p w:rsidR="000B64F3" w:rsidRPr="00FB5F78" w:rsidRDefault="000B64F3" w:rsidP="000B64F3">
      <w:pPr>
        <w:ind w:left="720" w:hanging="720"/>
      </w:pPr>
    </w:p>
    <w:p w:rsidR="000B64F3" w:rsidRPr="00FB5F78" w:rsidRDefault="000B64F3" w:rsidP="00FB5F78">
      <w:r w:rsidRPr="00FB5F78">
        <w:t>Details of any formal action, including any warnings will be retained on the employee’s personal file.  Warnings will be disregarded after the expiry of their life</w:t>
      </w:r>
      <w:r w:rsidR="00FB5F78" w:rsidRPr="00FB5F78">
        <w:t>.</w:t>
      </w:r>
    </w:p>
    <w:p w:rsidR="000B64F3" w:rsidRPr="00FB5F78" w:rsidRDefault="000B64F3" w:rsidP="000B64F3">
      <w:pPr>
        <w:ind w:left="720" w:hanging="720"/>
      </w:pPr>
    </w:p>
    <w:p w:rsidR="000B64F3" w:rsidRDefault="000B64F3" w:rsidP="00FB5F78">
      <w:r w:rsidRPr="00FB5F78">
        <w:t xml:space="preserve">Details of any current capability procedures and/or warnings, will be referred to when responding to an employee reference request.  </w:t>
      </w:r>
      <w:bookmarkStart w:id="19" w:name="_Toc269898019"/>
      <w:bookmarkStart w:id="20" w:name="_Toc314475714"/>
    </w:p>
    <w:p w:rsidR="00FB5F78" w:rsidRDefault="00FB5F78" w:rsidP="00FB5F78"/>
    <w:p w:rsidR="00FB5F78" w:rsidRPr="00D16B5A" w:rsidRDefault="005F3930" w:rsidP="00FB5F78">
      <w:pPr>
        <w:pStyle w:val="Heading2"/>
        <w:rPr>
          <w:color w:val="auto"/>
        </w:rPr>
      </w:pPr>
      <w:bookmarkStart w:id="21" w:name="_Toc390760092"/>
      <w:bookmarkStart w:id="22" w:name="_Toc485989706"/>
      <w:r w:rsidRPr="00D16B5A">
        <w:rPr>
          <w:rFonts w:asciiTheme="minorHAnsi" w:hAnsiTheme="minorHAnsi"/>
          <w:snapToGrid w:val="0"/>
          <w:color w:val="auto"/>
          <w:sz w:val="22"/>
          <w:szCs w:val="22"/>
        </w:rPr>
        <w:t>2.6</w:t>
      </w:r>
      <w:r w:rsidR="00FB5F78" w:rsidRPr="00D16B5A">
        <w:rPr>
          <w:rFonts w:asciiTheme="minorHAnsi" w:hAnsiTheme="minorHAnsi"/>
          <w:snapToGrid w:val="0"/>
          <w:color w:val="auto"/>
          <w:sz w:val="22"/>
          <w:szCs w:val="22"/>
        </w:rPr>
        <w:t xml:space="preserve"> Timing/Location of Meetings/Hearings</w:t>
      </w:r>
      <w:bookmarkEnd w:id="21"/>
      <w:bookmarkEnd w:id="22"/>
    </w:p>
    <w:bookmarkEnd w:id="19"/>
    <w:bookmarkEnd w:id="20"/>
    <w:p w:rsidR="000B64F3" w:rsidRPr="000F7E0C" w:rsidRDefault="000B64F3" w:rsidP="000B64F3">
      <w:pPr>
        <w:rPr>
          <w:rFonts w:ascii="Arial" w:hAnsi="Arial"/>
          <w:snapToGrid w:val="0"/>
        </w:rPr>
      </w:pPr>
    </w:p>
    <w:p w:rsidR="000B64F3" w:rsidRPr="00FB5F78" w:rsidRDefault="000B64F3" w:rsidP="00FB5F78">
      <w:r w:rsidRPr="00FB5F78">
        <w:t xml:space="preserve">Employers are obliged to deal with performance issues without undue delay.  It is expected that employees and their representatives will assist in this aim.  </w:t>
      </w:r>
    </w:p>
    <w:p w:rsidR="000B64F3" w:rsidRPr="00FB5F78" w:rsidRDefault="000B64F3" w:rsidP="000B64F3">
      <w:pPr>
        <w:ind w:left="720" w:hanging="720"/>
      </w:pPr>
    </w:p>
    <w:p w:rsidR="000B64F3" w:rsidRPr="00FB5F78" w:rsidRDefault="000B64F3" w:rsidP="00FB5F78">
      <w:r w:rsidRPr="00FB5F78">
        <w:t>Where possible, timings of formal meetings and appeal hearings will be agreed with the employee and his/her representative and will normally take place during the working day.</w:t>
      </w:r>
    </w:p>
    <w:p w:rsidR="000B64F3" w:rsidRPr="00FB5F78" w:rsidRDefault="000B64F3" w:rsidP="000B64F3">
      <w:pPr>
        <w:ind w:left="720" w:hanging="720"/>
      </w:pPr>
    </w:p>
    <w:p w:rsidR="000B64F3" w:rsidRPr="00FB5F78" w:rsidRDefault="000B64F3" w:rsidP="00FB5F78">
      <w:r w:rsidRPr="00FB5F78">
        <w:lastRenderedPageBreak/>
        <w:t>Employees and their representatives should make themselves available to attend meetings within a reasonable period of time.  If</w:t>
      </w:r>
      <w:r w:rsidR="00FB5F78">
        <w:t>,</w:t>
      </w:r>
      <w:r w:rsidRPr="00FB5F78">
        <w:t xml:space="preserve"> however, the employee’s chosen </w:t>
      </w:r>
      <w:r w:rsidR="00FB5F78">
        <w:t>representative</w:t>
      </w:r>
      <w:r w:rsidRPr="00FB5F78">
        <w:t xml:space="preserve"> is not available, for a reason that was not reasonably unforeseeable, at the time proposed for any meeting or hearing, one alternative date will be set, normally no later than five working days from the original date.</w:t>
      </w:r>
    </w:p>
    <w:p w:rsidR="000B64F3" w:rsidRPr="00FB5F78" w:rsidRDefault="000B64F3" w:rsidP="000B64F3">
      <w:pPr>
        <w:ind w:left="720" w:hanging="720"/>
      </w:pPr>
    </w:p>
    <w:p w:rsidR="000B64F3" w:rsidRPr="00FB5F78" w:rsidRDefault="000B64F3" w:rsidP="00FB5F78">
      <w:r w:rsidRPr="00FB5F78">
        <w:t>Where possible</w:t>
      </w:r>
      <w:r w:rsidR="00FB5F78">
        <w:t>,</w:t>
      </w:r>
      <w:r w:rsidRPr="00FB5F78">
        <w:t xml:space="preserve"> meetings and hearings will be held at a mutually convenient location, which meet any special needs of attendees and which may sometimes be away from the normal place of work</w:t>
      </w:r>
      <w:r w:rsidR="00FB5F78">
        <w:t>,</w:t>
      </w:r>
      <w:r w:rsidRPr="00FB5F78">
        <w:t xml:space="preserve"> where this is considered to be appropriate.</w:t>
      </w:r>
    </w:p>
    <w:p w:rsidR="000B64F3" w:rsidRPr="00FB5F78" w:rsidRDefault="000B64F3" w:rsidP="000B64F3">
      <w:pPr>
        <w:ind w:left="720" w:hanging="720"/>
      </w:pPr>
    </w:p>
    <w:p w:rsidR="000B64F3" w:rsidRDefault="000B64F3" w:rsidP="00FB5F78">
      <w:r w:rsidRPr="00FB5F78">
        <w:t xml:space="preserve">Reasonable time off with pay will be granted to employees who are acting as representative for an employee who is subject to the capability process. </w:t>
      </w:r>
    </w:p>
    <w:p w:rsidR="00FB5F78" w:rsidRDefault="00FB5F78" w:rsidP="00FB5F78"/>
    <w:p w:rsidR="00FB5F78" w:rsidRPr="00D16B5A" w:rsidRDefault="005F3930" w:rsidP="00FB5F78">
      <w:pPr>
        <w:pStyle w:val="Heading2"/>
        <w:rPr>
          <w:color w:val="auto"/>
        </w:rPr>
      </w:pPr>
      <w:bookmarkStart w:id="23" w:name="_Toc390760093"/>
      <w:bookmarkStart w:id="24" w:name="_Toc485989707"/>
      <w:r w:rsidRPr="00D16B5A">
        <w:rPr>
          <w:rFonts w:asciiTheme="minorHAnsi" w:hAnsiTheme="minorHAnsi"/>
          <w:snapToGrid w:val="0"/>
          <w:color w:val="auto"/>
          <w:sz w:val="22"/>
          <w:szCs w:val="22"/>
        </w:rPr>
        <w:t>2.7</w:t>
      </w:r>
      <w:r w:rsidR="00FB5F78" w:rsidRPr="00D16B5A">
        <w:rPr>
          <w:rFonts w:asciiTheme="minorHAnsi" w:hAnsiTheme="minorHAnsi"/>
          <w:snapToGrid w:val="0"/>
          <w:color w:val="auto"/>
          <w:sz w:val="22"/>
          <w:szCs w:val="22"/>
        </w:rPr>
        <w:t xml:space="preserve"> Grievances raised during Capability Procedures</w:t>
      </w:r>
      <w:bookmarkEnd w:id="23"/>
      <w:bookmarkEnd w:id="24"/>
    </w:p>
    <w:p w:rsidR="000B64F3" w:rsidRPr="000F7E0C" w:rsidRDefault="000B64F3" w:rsidP="00FB5F78">
      <w:pPr>
        <w:rPr>
          <w:rFonts w:ascii="Arial" w:hAnsi="Arial"/>
          <w:snapToGrid w:val="0"/>
        </w:rPr>
      </w:pPr>
    </w:p>
    <w:p w:rsidR="000B64F3" w:rsidRPr="00FB5F78" w:rsidRDefault="000B64F3" w:rsidP="00FB5F78">
      <w:r w:rsidRPr="00FB5F78">
        <w:t>If an employee raises a grievance during the course of the capability procedure, related to the case, the grievance will normall</w:t>
      </w:r>
      <w:r w:rsidR="001F6FD2">
        <w:t>y be dealt with as part of the Formal Capability Meeting/A</w:t>
      </w:r>
      <w:r w:rsidRPr="00FB5F78">
        <w:t>ppeal.  If appropriate, given the nature of the grievance, the capability process may be temporarily suspended in order to deal with the grievance.</w:t>
      </w:r>
    </w:p>
    <w:p w:rsidR="000B64F3" w:rsidRDefault="000B64F3" w:rsidP="000B64F3"/>
    <w:p w:rsidR="00FB5F78" w:rsidRPr="00D16B5A" w:rsidRDefault="005F3930" w:rsidP="00FB5F78">
      <w:pPr>
        <w:pStyle w:val="Heading2"/>
        <w:rPr>
          <w:color w:val="auto"/>
        </w:rPr>
      </w:pPr>
      <w:bookmarkStart w:id="25" w:name="_Toc390760094"/>
      <w:bookmarkStart w:id="26" w:name="_Toc485989708"/>
      <w:r w:rsidRPr="00D16B5A">
        <w:rPr>
          <w:rFonts w:asciiTheme="minorHAnsi" w:hAnsiTheme="minorHAnsi"/>
          <w:snapToGrid w:val="0"/>
          <w:color w:val="auto"/>
          <w:sz w:val="22"/>
          <w:szCs w:val="22"/>
        </w:rPr>
        <w:t>2.8</w:t>
      </w:r>
      <w:r w:rsidR="00FB5F78" w:rsidRPr="00D16B5A">
        <w:rPr>
          <w:rFonts w:asciiTheme="minorHAnsi" w:hAnsiTheme="minorHAnsi"/>
          <w:snapToGrid w:val="0"/>
          <w:color w:val="auto"/>
          <w:sz w:val="22"/>
          <w:szCs w:val="22"/>
        </w:rPr>
        <w:t xml:space="preserve"> Ill Health during Capability Procedures</w:t>
      </w:r>
      <w:bookmarkEnd w:id="25"/>
      <w:bookmarkEnd w:id="26"/>
    </w:p>
    <w:p w:rsidR="00FB5F78" w:rsidRPr="00FB5F78" w:rsidRDefault="00FB5F78" w:rsidP="000B64F3"/>
    <w:p w:rsidR="000B64F3" w:rsidRPr="00FB5F78" w:rsidRDefault="000B64F3" w:rsidP="00FB5F78">
      <w:r w:rsidRPr="00FB5F78">
        <w:t>While it is recognised that capability procedures can be distressing and may sometimes lead to an employee feeling unwell, the Governing Body believes that it is in everyone’s best interest to conclude matters as quickly as possible and will work with the employee to achieve this.</w:t>
      </w:r>
    </w:p>
    <w:p w:rsidR="000B64F3" w:rsidRPr="00FB5F78" w:rsidRDefault="000B64F3" w:rsidP="000B64F3">
      <w:pPr>
        <w:ind w:left="720" w:hanging="720"/>
      </w:pPr>
    </w:p>
    <w:p w:rsidR="000B64F3" w:rsidRPr="00FB5F78" w:rsidRDefault="000B64F3" w:rsidP="00FB5F78">
      <w:r w:rsidRPr="00FB5F78">
        <w:t>If sickness absence appears to have been triggered by the commencement of the capability procedure, the case will be referred immediately to an</w:t>
      </w:r>
      <w:r w:rsidR="00FB5F78">
        <w:t xml:space="preserve"> Occupational Health A</w:t>
      </w:r>
      <w:r w:rsidRPr="00FB5F78">
        <w:t>dviser to assess the employee’s fitness for participation in the capability.  Where an employee remains off sick, the matter</w:t>
      </w:r>
      <w:bookmarkStart w:id="27" w:name="_12._Sickness_absence"/>
      <w:bookmarkEnd w:id="27"/>
      <w:r w:rsidRPr="00FB5F78">
        <w:t xml:space="preserve"> will subsequently be dea</w:t>
      </w:r>
      <w:r w:rsidR="00FB5F78">
        <w:t xml:space="preserve">lt with in accordance with the </w:t>
      </w:r>
      <w:hyperlink r:id="rId15" w:history="1">
        <w:r w:rsidR="00FB5F78" w:rsidRPr="00D40614">
          <w:t>Sickness-Absence Policy</w:t>
        </w:r>
      </w:hyperlink>
      <w:r w:rsidRPr="00FB5F78">
        <w:t xml:space="preserve">.  </w:t>
      </w:r>
    </w:p>
    <w:p w:rsidR="000B64F3" w:rsidRDefault="000B64F3">
      <w:pPr>
        <w:jc w:val="both"/>
        <w:rPr>
          <w:rFonts w:cstheme="minorHAnsi"/>
          <w:sz w:val="24"/>
          <w:szCs w:val="24"/>
        </w:rPr>
      </w:pPr>
    </w:p>
    <w:p w:rsidR="00A841AE" w:rsidRDefault="00A841AE">
      <w:pPr>
        <w:jc w:val="both"/>
        <w:rPr>
          <w:noProof/>
          <w:lang w:eastAsia="en-GB"/>
        </w:rPr>
      </w:pPr>
    </w:p>
    <w:p w:rsidR="00A841AE" w:rsidRDefault="00A841AE">
      <w:pPr>
        <w:jc w:val="both"/>
        <w:rPr>
          <w:noProof/>
          <w:lang w:eastAsia="en-GB"/>
        </w:rPr>
      </w:pPr>
    </w:p>
    <w:p w:rsidR="00A841AE" w:rsidRDefault="00A841AE">
      <w:pPr>
        <w:jc w:val="both"/>
        <w:rPr>
          <w:noProof/>
          <w:lang w:eastAsia="en-GB"/>
        </w:rPr>
      </w:pPr>
    </w:p>
    <w:p w:rsidR="00A841AE" w:rsidRDefault="00A841AE">
      <w:pPr>
        <w:jc w:val="both"/>
        <w:rPr>
          <w:noProof/>
          <w:lang w:eastAsia="en-GB"/>
        </w:rPr>
      </w:pPr>
    </w:p>
    <w:p w:rsidR="00A841AE" w:rsidRDefault="00A841AE">
      <w:pPr>
        <w:jc w:val="both"/>
        <w:rPr>
          <w:noProof/>
          <w:lang w:eastAsia="en-GB"/>
        </w:rPr>
      </w:pPr>
    </w:p>
    <w:p w:rsidR="00A841AE" w:rsidRDefault="00A841AE">
      <w:pPr>
        <w:jc w:val="both"/>
        <w:rPr>
          <w:noProof/>
          <w:lang w:eastAsia="en-GB"/>
        </w:rPr>
      </w:pPr>
    </w:p>
    <w:p w:rsidR="00A841AE" w:rsidRDefault="00A841AE">
      <w:pPr>
        <w:jc w:val="both"/>
        <w:rPr>
          <w:noProof/>
          <w:lang w:eastAsia="en-GB"/>
        </w:rPr>
      </w:pPr>
    </w:p>
    <w:p w:rsidR="00A841AE" w:rsidRDefault="00A841AE">
      <w:pPr>
        <w:jc w:val="both"/>
        <w:rPr>
          <w:noProof/>
          <w:lang w:eastAsia="en-GB"/>
        </w:rPr>
      </w:pPr>
    </w:p>
    <w:p w:rsidR="00A841AE" w:rsidRDefault="00A841AE">
      <w:pPr>
        <w:jc w:val="both"/>
        <w:rPr>
          <w:noProof/>
          <w:lang w:eastAsia="en-GB"/>
        </w:rPr>
      </w:pPr>
    </w:p>
    <w:p w:rsidR="00A841AE" w:rsidRDefault="00A841AE">
      <w:pPr>
        <w:jc w:val="both"/>
        <w:rPr>
          <w:noProof/>
          <w:lang w:eastAsia="en-GB"/>
        </w:rPr>
      </w:pPr>
    </w:p>
    <w:p w:rsidR="00A841AE" w:rsidRDefault="00A841AE">
      <w:pPr>
        <w:jc w:val="both"/>
        <w:rPr>
          <w:noProof/>
          <w:lang w:eastAsia="en-GB"/>
        </w:rPr>
      </w:pPr>
    </w:p>
    <w:p w:rsidR="00A841AE" w:rsidRDefault="00A841AE">
      <w:pPr>
        <w:jc w:val="both"/>
        <w:rPr>
          <w:noProof/>
          <w:lang w:eastAsia="en-GB"/>
        </w:rPr>
      </w:pPr>
    </w:p>
    <w:p w:rsidR="00A841AE" w:rsidRDefault="00A841AE">
      <w:pPr>
        <w:jc w:val="both"/>
        <w:rPr>
          <w:noProof/>
          <w:lang w:eastAsia="en-GB"/>
        </w:rPr>
      </w:pPr>
    </w:p>
    <w:p w:rsidR="00A841AE" w:rsidRDefault="00A841AE">
      <w:pPr>
        <w:jc w:val="both"/>
        <w:rPr>
          <w:noProof/>
          <w:lang w:eastAsia="en-GB"/>
        </w:rPr>
      </w:pPr>
    </w:p>
    <w:p w:rsidR="00A841AE" w:rsidRDefault="00A841AE">
      <w:pPr>
        <w:jc w:val="both"/>
        <w:rPr>
          <w:noProof/>
          <w:lang w:eastAsia="en-GB"/>
        </w:rPr>
      </w:pPr>
    </w:p>
    <w:p w:rsidR="00A841AE" w:rsidRDefault="00A841AE">
      <w:pPr>
        <w:jc w:val="both"/>
        <w:rPr>
          <w:noProof/>
          <w:lang w:eastAsia="en-GB"/>
        </w:rPr>
      </w:pPr>
    </w:p>
    <w:p w:rsidR="00A841AE" w:rsidRDefault="00A841AE">
      <w:pPr>
        <w:jc w:val="both"/>
        <w:rPr>
          <w:noProof/>
          <w:lang w:eastAsia="en-GB"/>
        </w:rPr>
      </w:pPr>
    </w:p>
    <w:p w:rsidR="00A841AE" w:rsidRDefault="00A841AE">
      <w:pPr>
        <w:jc w:val="both"/>
        <w:rPr>
          <w:noProof/>
          <w:lang w:eastAsia="en-GB"/>
        </w:rPr>
      </w:pPr>
    </w:p>
    <w:p w:rsidR="00A841AE" w:rsidRDefault="00A841AE">
      <w:pPr>
        <w:jc w:val="both"/>
        <w:rPr>
          <w:noProof/>
          <w:lang w:eastAsia="en-GB"/>
        </w:rPr>
      </w:pPr>
    </w:p>
    <w:p w:rsidR="001F6FD2" w:rsidRDefault="001F6FD2">
      <w:pPr>
        <w:jc w:val="both"/>
        <w:rPr>
          <w:noProof/>
          <w:lang w:eastAsia="en-GB"/>
        </w:rPr>
      </w:pPr>
    </w:p>
    <w:p w:rsidR="00A841AE" w:rsidRPr="00D16B5A" w:rsidRDefault="00A841AE" w:rsidP="00A841AE">
      <w:pPr>
        <w:pStyle w:val="Heading1"/>
        <w:rPr>
          <w:rFonts w:asciiTheme="minorHAnsi" w:hAnsiTheme="minorHAnsi"/>
          <w:noProof/>
          <w:color w:val="auto"/>
          <w:lang w:eastAsia="en-GB"/>
        </w:rPr>
      </w:pPr>
      <w:bookmarkStart w:id="28" w:name="_Toc390760095"/>
      <w:bookmarkStart w:id="29" w:name="_Toc485989709"/>
      <w:r w:rsidRPr="00D16B5A">
        <w:rPr>
          <w:rFonts w:asciiTheme="minorHAnsi" w:hAnsiTheme="minorHAnsi"/>
          <w:noProof/>
          <w:color w:val="auto"/>
          <w:lang w:eastAsia="en-GB"/>
        </w:rPr>
        <w:lastRenderedPageBreak/>
        <w:t>Appendix A</w:t>
      </w:r>
      <w:bookmarkEnd w:id="28"/>
      <w:bookmarkEnd w:id="29"/>
    </w:p>
    <w:p w:rsidR="00A841AE" w:rsidRDefault="00A841AE">
      <w:pPr>
        <w:jc w:val="both"/>
        <w:rPr>
          <w:noProof/>
          <w:lang w:eastAsia="en-GB"/>
        </w:rPr>
      </w:pPr>
    </w:p>
    <w:p w:rsidR="00A841AE" w:rsidRDefault="00A841AE" w:rsidP="005F3930">
      <w:pPr>
        <w:jc w:val="center"/>
        <w:rPr>
          <w:rFonts w:cstheme="minorHAnsi"/>
          <w:sz w:val="24"/>
          <w:szCs w:val="24"/>
        </w:rPr>
      </w:pPr>
      <w:r>
        <w:rPr>
          <w:noProof/>
          <w:lang w:eastAsia="en-GB"/>
        </w:rPr>
        <w:drawing>
          <wp:inline distT="0" distB="0" distL="0" distR="0" wp14:anchorId="5C58367C" wp14:editId="3F2F1E32">
            <wp:extent cx="5573864" cy="7542349"/>
            <wp:effectExtent l="0" t="0" r="8255" b="19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51752" t="19824" r="17583" b="4159"/>
                    <a:stretch/>
                  </pic:blipFill>
                  <pic:spPr bwMode="auto">
                    <a:xfrm>
                      <a:off x="0" y="0"/>
                      <a:ext cx="5589437" cy="7563422"/>
                    </a:xfrm>
                    <a:prstGeom prst="rect">
                      <a:avLst/>
                    </a:prstGeom>
                    <a:ln>
                      <a:noFill/>
                    </a:ln>
                    <a:extLst>
                      <a:ext uri="{53640926-AAD7-44D8-BBD7-CCE9431645EC}">
                        <a14:shadowObscured xmlns:a14="http://schemas.microsoft.com/office/drawing/2010/main"/>
                      </a:ext>
                    </a:extLst>
                  </pic:spPr>
                </pic:pic>
              </a:graphicData>
            </a:graphic>
          </wp:inline>
        </w:drawing>
      </w:r>
    </w:p>
    <w:sectPr w:rsidR="00A841AE">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A8F" w:rsidRDefault="006F73E9">
      <w:r>
        <w:separator/>
      </w:r>
    </w:p>
  </w:endnote>
  <w:endnote w:type="continuationSeparator" w:id="0">
    <w:p w:rsidR="00F12A8F" w:rsidRDefault="006F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HJHJ B+ Helvetica Neue">
    <w:altName w:val="Helvetica 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2922"/>
      <w:docPartObj>
        <w:docPartGallery w:val="Page Numbers (Bottom of Page)"/>
        <w:docPartUnique/>
      </w:docPartObj>
    </w:sdtPr>
    <w:sdtEndPr/>
    <w:sdtContent>
      <w:p w:rsidR="00F12A8F" w:rsidRDefault="006F73E9">
        <w:pPr>
          <w:pStyle w:val="Footer"/>
          <w:jc w:val="center"/>
        </w:pPr>
        <w:r>
          <w:fldChar w:fldCharType="begin"/>
        </w:r>
        <w:r>
          <w:instrText xml:space="preserve"> PAGE   \* MERGEFORMAT </w:instrText>
        </w:r>
        <w:r>
          <w:fldChar w:fldCharType="separate"/>
        </w:r>
        <w:r w:rsidR="00683B36">
          <w:rPr>
            <w:noProof/>
          </w:rPr>
          <w:t>7</w:t>
        </w:r>
        <w:r>
          <w:rPr>
            <w:noProof/>
          </w:rPr>
          <w:fldChar w:fldCharType="end"/>
        </w:r>
      </w:p>
    </w:sdtContent>
  </w:sdt>
  <w:p w:rsidR="00F12A8F" w:rsidRDefault="00F12A8F">
    <w:pPr>
      <w:pStyle w:val="Footer"/>
    </w:pPr>
  </w:p>
  <w:p w:rsidR="004407C4" w:rsidRDefault="004407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A8F" w:rsidRDefault="006F73E9">
      <w:r>
        <w:separator/>
      </w:r>
    </w:p>
  </w:footnote>
  <w:footnote w:type="continuationSeparator" w:id="0">
    <w:p w:rsidR="00F12A8F" w:rsidRDefault="006F73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506CF"/>
    <w:multiLevelType w:val="hybridMultilevel"/>
    <w:tmpl w:val="C9A43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3523D"/>
    <w:multiLevelType w:val="multilevel"/>
    <w:tmpl w:val="810AD2F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0747D1"/>
    <w:multiLevelType w:val="hybridMultilevel"/>
    <w:tmpl w:val="E1BA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05639"/>
    <w:multiLevelType w:val="hybridMultilevel"/>
    <w:tmpl w:val="474483E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490FEA"/>
    <w:multiLevelType w:val="hybridMultilevel"/>
    <w:tmpl w:val="8964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F7A12"/>
    <w:multiLevelType w:val="hybridMultilevel"/>
    <w:tmpl w:val="8A7C5648"/>
    <w:lvl w:ilvl="0" w:tplc="430A6660">
      <w:start w:val="1"/>
      <w:numFmt w:val="bullet"/>
      <w:lvlText w:val=""/>
      <w:lvlJc w:val="left"/>
      <w:pPr>
        <w:tabs>
          <w:tab w:val="num" w:pos="1440"/>
        </w:tabs>
        <w:ind w:left="1440" w:hanging="360"/>
      </w:pPr>
      <w:rPr>
        <w:rFonts w:ascii="Symbol" w:hAnsi="Symbol" w:hint="default"/>
        <w:color w:val="auto"/>
        <w:sz w:val="18"/>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D0D2C85"/>
    <w:multiLevelType w:val="hybridMultilevel"/>
    <w:tmpl w:val="69264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503E1A"/>
    <w:multiLevelType w:val="hybridMultilevel"/>
    <w:tmpl w:val="5DF855E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5446B8D"/>
    <w:multiLevelType w:val="hybridMultilevel"/>
    <w:tmpl w:val="B82618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880782"/>
    <w:multiLevelType w:val="hybridMultilevel"/>
    <w:tmpl w:val="C7BAE4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7651277"/>
    <w:multiLevelType w:val="hybridMultilevel"/>
    <w:tmpl w:val="1BEEF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154B4"/>
    <w:multiLevelType w:val="hybridMultilevel"/>
    <w:tmpl w:val="B9267C9A"/>
    <w:lvl w:ilvl="0" w:tplc="430A6660">
      <w:start w:val="1"/>
      <w:numFmt w:val="bullet"/>
      <w:lvlText w:val=""/>
      <w:lvlJc w:val="left"/>
      <w:pPr>
        <w:tabs>
          <w:tab w:val="num" w:pos="1080"/>
        </w:tabs>
        <w:ind w:left="1080" w:hanging="360"/>
      </w:pPr>
      <w:rPr>
        <w:rFonts w:ascii="Symbol" w:hAnsi="Symbol" w:hint="default"/>
        <w:color w:val="auto"/>
        <w:sz w:val="18"/>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AD4DB4"/>
    <w:multiLevelType w:val="multilevel"/>
    <w:tmpl w:val="232243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0D0EB3"/>
    <w:multiLevelType w:val="hybridMultilevel"/>
    <w:tmpl w:val="25E411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0BE2350"/>
    <w:multiLevelType w:val="hybridMultilevel"/>
    <w:tmpl w:val="DAFA4F0E"/>
    <w:lvl w:ilvl="0" w:tplc="430A6660">
      <w:start w:val="1"/>
      <w:numFmt w:val="bullet"/>
      <w:lvlText w:val=""/>
      <w:lvlJc w:val="left"/>
      <w:pPr>
        <w:tabs>
          <w:tab w:val="num" w:pos="1440"/>
        </w:tabs>
        <w:ind w:left="1440" w:hanging="360"/>
      </w:pPr>
      <w:rPr>
        <w:rFonts w:ascii="Symbol" w:hAnsi="Symbol" w:hint="default"/>
        <w:color w:val="auto"/>
        <w:sz w:val="18"/>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4376E0B"/>
    <w:multiLevelType w:val="hybridMultilevel"/>
    <w:tmpl w:val="FD60F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482700"/>
    <w:multiLevelType w:val="hybridMultilevel"/>
    <w:tmpl w:val="F89074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6CA10E9"/>
    <w:multiLevelType w:val="hybridMultilevel"/>
    <w:tmpl w:val="DA7ECDDA"/>
    <w:lvl w:ilvl="0" w:tplc="12942308">
      <w:start w:val="1"/>
      <w:numFmt w:val="bullet"/>
      <w:lvlText w:val=""/>
      <w:lvlJc w:val="left"/>
      <w:pPr>
        <w:tabs>
          <w:tab w:val="num" w:pos="1080"/>
        </w:tabs>
        <w:ind w:left="1080" w:hanging="360"/>
      </w:pPr>
      <w:rPr>
        <w:rFonts w:ascii="Symbol" w:hAnsi="Symbol" w:hint="default"/>
        <w:sz w:val="16"/>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7FB5BF4"/>
    <w:multiLevelType w:val="hybridMultilevel"/>
    <w:tmpl w:val="E34A3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E45B75"/>
    <w:multiLevelType w:val="hybridMultilevel"/>
    <w:tmpl w:val="B720F3D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CD857D8"/>
    <w:multiLevelType w:val="multilevel"/>
    <w:tmpl w:val="C0A057F2"/>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21" w15:restartNumberingAfterBreak="0">
    <w:nsid w:val="3CDD37B7"/>
    <w:multiLevelType w:val="hybridMultilevel"/>
    <w:tmpl w:val="2B20B35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D7870EE"/>
    <w:multiLevelType w:val="multilevel"/>
    <w:tmpl w:val="4EFA452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F0D059A"/>
    <w:multiLevelType w:val="hybridMultilevel"/>
    <w:tmpl w:val="C434A8B6"/>
    <w:lvl w:ilvl="0" w:tplc="C9925C84">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41E0647D"/>
    <w:multiLevelType w:val="multilevel"/>
    <w:tmpl w:val="D0B43328"/>
    <w:lvl w:ilvl="0">
      <w:numFmt w:val="bullet"/>
      <w:lvlText w:val=""/>
      <w:lvlJc w:val="left"/>
      <w:pPr>
        <w:tabs>
          <w:tab w:val="num" w:pos="1080"/>
        </w:tabs>
        <w:ind w:left="1080" w:hanging="360"/>
      </w:pPr>
      <w:rPr>
        <w:rFonts w:ascii="Symbol" w:eastAsia="Times New Roman" w:hAnsi="Symbol" w:cs="Times New Roman" w:hint="default"/>
        <w:b/>
      </w:rPr>
    </w:lvl>
    <w:lvl w:ilvl="1">
      <w:start w:val="1"/>
      <w:numFmt w:val="bullet"/>
      <w:lvlText w:val=""/>
      <w:lvlJc w:val="left"/>
      <w:pPr>
        <w:tabs>
          <w:tab w:val="num" w:pos="2160"/>
        </w:tabs>
        <w:ind w:left="2160" w:hanging="360"/>
      </w:pPr>
      <w:rPr>
        <w:rFonts w:ascii="Symbol" w:hAnsi="Symbol"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108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2160"/>
        </w:tabs>
        <w:ind w:left="2160" w:hanging="144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520"/>
        </w:tabs>
        <w:ind w:left="2520" w:hanging="1800"/>
      </w:pPr>
      <w:rPr>
        <w:rFonts w:hint="default"/>
        <w:b/>
      </w:rPr>
    </w:lvl>
    <w:lvl w:ilvl="8">
      <w:start w:val="1"/>
      <w:numFmt w:val="decimal"/>
      <w:lvlText w:val="%1.%2.%3.%4.%5.%6.%7.%8.%9"/>
      <w:lvlJc w:val="left"/>
      <w:pPr>
        <w:tabs>
          <w:tab w:val="num" w:pos="2520"/>
        </w:tabs>
        <w:ind w:left="2520" w:hanging="1800"/>
      </w:pPr>
      <w:rPr>
        <w:rFonts w:hint="default"/>
        <w:b/>
      </w:rPr>
    </w:lvl>
  </w:abstractNum>
  <w:abstractNum w:abstractNumId="25" w15:restartNumberingAfterBreak="0">
    <w:nsid w:val="432A7234"/>
    <w:multiLevelType w:val="hybridMultilevel"/>
    <w:tmpl w:val="07AA40A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6A97C73"/>
    <w:multiLevelType w:val="singleLevel"/>
    <w:tmpl w:val="CC2A1D9E"/>
    <w:lvl w:ilvl="0">
      <w:start w:val="1"/>
      <w:numFmt w:val="bullet"/>
      <w:lvlText w:val=""/>
      <w:lvlJc w:val="left"/>
      <w:pPr>
        <w:tabs>
          <w:tab w:val="num" w:pos="360"/>
        </w:tabs>
        <w:ind w:left="360" w:hanging="360"/>
      </w:pPr>
      <w:rPr>
        <w:rFonts w:ascii="Symbol" w:hAnsi="Symbol" w:hint="default"/>
        <w:sz w:val="24"/>
      </w:rPr>
    </w:lvl>
  </w:abstractNum>
  <w:abstractNum w:abstractNumId="27" w15:restartNumberingAfterBreak="0">
    <w:nsid w:val="47694F3B"/>
    <w:multiLevelType w:val="hybridMultilevel"/>
    <w:tmpl w:val="C0CCE5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82E568F"/>
    <w:multiLevelType w:val="multilevel"/>
    <w:tmpl w:val="ED5A423E"/>
    <w:lvl w:ilvl="0">
      <w:start w:val="1"/>
      <w:numFmt w:val="bullet"/>
      <w:lvlText w:val=""/>
      <w:lvlJc w:val="left"/>
      <w:pPr>
        <w:tabs>
          <w:tab w:val="num" w:pos="1440"/>
        </w:tabs>
        <w:ind w:left="1440" w:hanging="360"/>
      </w:pPr>
      <w:rPr>
        <w:rFonts w:ascii="Symbol" w:hAnsi="Symbol"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160"/>
        </w:tabs>
        <w:ind w:left="2160" w:hanging="1080"/>
      </w:pPr>
      <w:rPr>
        <w:rFonts w:hint="default"/>
        <w:b/>
      </w:rPr>
    </w:lvl>
    <w:lvl w:ilvl="5">
      <w:start w:val="1"/>
      <w:numFmt w:val="decimal"/>
      <w:lvlText w:val="%1.%2.%3.%4.%5.%6"/>
      <w:lvlJc w:val="left"/>
      <w:pPr>
        <w:tabs>
          <w:tab w:val="num" w:pos="2520"/>
        </w:tabs>
        <w:ind w:left="2520" w:hanging="144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880"/>
        </w:tabs>
        <w:ind w:left="2880" w:hanging="1800"/>
      </w:pPr>
      <w:rPr>
        <w:rFonts w:hint="default"/>
        <w:b/>
      </w:rPr>
    </w:lvl>
    <w:lvl w:ilvl="8">
      <w:start w:val="1"/>
      <w:numFmt w:val="decimal"/>
      <w:lvlText w:val="%1.%2.%3.%4.%5.%6.%7.%8.%9"/>
      <w:lvlJc w:val="left"/>
      <w:pPr>
        <w:tabs>
          <w:tab w:val="num" w:pos="2880"/>
        </w:tabs>
        <w:ind w:left="2880" w:hanging="1800"/>
      </w:pPr>
      <w:rPr>
        <w:rFonts w:hint="default"/>
        <w:b/>
      </w:rPr>
    </w:lvl>
  </w:abstractNum>
  <w:abstractNum w:abstractNumId="29" w15:restartNumberingAfterBreak="0">
    <w:nsid w:val="4A3F0E3D"/>
    <w:multiLevelType w:val="hybridMultilevel"/>
    <w:tmpl w:val="E3306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6F431D"/>
    <w:multiLevelType w:val="hybridMultilevel"/>
    <w:tmpl w:val="FE188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D777A1"/>
    <w:multiLevelType w:val="hybridMultilevel"/>
    <w:tmpl w:val="4B70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3C2D1F"/>
    <w:multiLevelType w:val="hybridMultilevel"/>
    <w:tmpl w:val="5BD0D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FB2202"/>
    <w:multiLevelType w:val="hybridMultilevel"/>
    <w:tmpl w:val="E250DB48"/>
    <w:lvl w:ilvl="0" w:tplc="430A6660">
      <w:start w:val="1"/>
      <w:numFmt w:val="bullet"/>
      <w:lvlText w:val=""/>
      <w:lvlJc w:val="left"/>
      <w:pPr>
        <w:tabs>
          <w:tab w:val="num" w:pos="1440"/>
        </w:tabs>
        <w:ind w:left="1440" w:hanging="360"/>
      </w:pPr>
      <w:rPr>
        <w:rFonts w:ascii="Symbol" w:hAnsi="Symbol" w:hint="default"/>
        <w:color w:val="auto"/>
        <w:sz w:val="18"/>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98B6B71"/>
    <w:multiLevelType w:val="hybridMultilevel"/>
    <w:tmpl w:val="5336BF8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F4C384A"/>
    <w:multiLevelType w:val="hybridMultilevel"/>
    <w:tmpl w:val="4FCC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F2158A"/>
    <w:multiLevelType w:val="hybridMultilevel"/>
    <w:tmpl w:val="05863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483ACE"/>
    <w:multiLevelType w:val="hybridMultilevel"/>
    <w:tmpl w:val="3D1EF4D4"/>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87477D3"/>
    <w:multiLevelType w:val="hybridMultilevel"/>
    <w:tmpl w:val="336CFD52"/>
    <w:lvl w:ilvl="0" w:tplc="12942308">
      <w:start w:val="1"/>
      <w:numFmt w:val="bullet"/>
      <w:lvlText w:val=""/>
      <w:lvlJc w:val="left"/>
      <w:pPr>
        <w:tabs>
          <w:tab w:val="num" w:pos="1800"/>
        </w:tabs>
        <w:ind w:left="1800" w:hanging="360"/>
      </w:pPr>
      <w:rPr>
        <w:rFonts w:ascii="Symbol" w:hAnsi="Symbol" w:hint="default"/>
        <w:sz w:val="16"/>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9" w15:restartNumberingAfterBreak="0">
    <w:nsid w:val="6A440F29"/>
    <w:multiLevelType w:val="hybridMultilevel"/>
    <w:tmpl w:val="ABA0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0D110C"/>
    <w:multiLevelType w:val="multilevel"/>
    <w:tmpl w:val="775EDC1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8657E15"/>
    <w:multiLevelType w:val="hybridMultilevel"/>
    <w:tmpl w:val="817A8D14"/>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35"/>
  </w:num>
  <w:num w:numId="3">
    <w:abstractNumId w:val="32"/>
  </w:num>
  <w:num w:numId="4">
    <w:abstractNumId w:val="18"/>
  </w:num>
  <w:num w:numId="5">
    <w:abstractNumId w:val="30"/>
  </w:num>
  <w:num w:numId="6">
    <w:abstractNumId w:val="39"/>
  </w:num>
  <w:num w:numId="7">
    <w:abstractNumId w:val="9"/>
  </w:num>
  <w:num w:numId="8">
    <w:abstractNumId w:val="8"/>
  </w:num>
  <w:num w:numId="9">
    <w:abstractNumId w:val="27"/>
  </w:num>
  <w:num w:numId="10">
    <w:abstractNumId w:val="20"/>
  </w:num>
  <w:num w:numId="11">
    <w:abstractNumId w:val="21"/>
  </w:num>
  <w:num w:numId="12">
    <w:abstractNumId w:val="3"/>
  </w:num>
  <w:num w:numId="13">
    <w:abstractNumId w:val="19"/>
  </w:num>
  <w:num w:numId="14">
    <w:abstractNumId w:val="34"/>
  </w:num>
  <w:num w:numId="15">
    <w:abstractNumId w:val="26"/>
  </w:num>
  <w:num w:numId="16">
    <w:abstractNumId w:val="28"/>
  </w:num>
  <w:num w:numId="17">
    <w:abstractNumId w:val="24"/>
  </w:num>
  <w:num w:numId="18">
    <w:abstractNumId w:val="41"/>
  </w:num>
  <w:num w:numId="19">
    <w:abstractNumId w:val="37"/>
  </w:num>
  <w:num w:numId="20">
    <w:abstractNumId w:val="12"/>
  </w:num>
  <w:num w:numId="21">
    <w:abstractNumId w:val="16"/>
  </w:num>
  <w:num w:numId="22">
    <w:abstractNumId w:val="22"/>
  </w:num>
  <w:num w:numId="23">
    <w:abstractNumId w:val="25"/>
  </w:num>
  <w:num w:numId="24">
    <w:abstractNumId w:val="1"/>
  </w:num>
  <w:num w:numId="25">
    <w:abstractNumId w:val="7"/>
  </w:num>
  <w:num w:numId="26">
    <w:abstractNumId w:val="13"/>
  </w:num>
  <w:num w:numId="27">
    <w:abstractNumId w:val="5"/>
  </w:num>
  <w:num w:numId="28">
    <w:abstractNumId w:val="14"/>
  </w:num>
  <w:num w:numId="29">
    <w:abstractNumId w:val="33"/>
  </w:num>
  <w:num w:numId="30">
    <w:abstractNumId w:val="11"/>
  </w:num>
  <w:num w:numId="31">
    <w:abstractNumId w:val="40"/>
  </w:num>
  <w:num w:numId="32">
    <w:abstractNumId w:val="23"/>
  </w:num>
  <w:num w:numId="33">
    <w:abstractNumId w:val="38"/>
  </w:num>
  <w:num w:numId="34">
    <w:abstractNumId w:val="17"/>
  </w:num>
  <w:num w:numId="35">
    <w:abstractNumId w:val="4"/>
  </w:num>
  <w:num w:numId="36">
    <w:abstractNumId w:val="6"/>
  </w:num>
  <w:num w:numId="37">
    <w:abstractNumId w:val="29"/>
  </w:num>
  <w:num w:numId="38">
    <w:abstractNumId w:val="0"/>
  </w:num>
  <w:num w:numId="39">
    <w:abstractNumId w:val="36"/>
  </w:num>
  <w:num w:numId="40">
    <w:abstractNumId w:val="31"/>
  </w:num>
  <w:num w:numId="41">
    <w:abstractNumId w:val="15"/>
  </w:num>
  <w:num w:numId="4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8F"/>
    <w:rsid w:val="000059DA"/>
    <w:rsid w:val="000253B3"/>
    <w:rsid w:val="000313C5"/>
    <w:rsid w:val="00033AE9"/>
    <w:rsid w:val="000477F5"/>
    <w:rsid w:val="0005350D"/>
    <w:rsid w:val="000B64F3"/>
    <w:rsid w:val="001053E0"/>
    <w:rsid w:val="001405F5"/>
    <w:rsid w:val="00191653"/>
    <w:rsid w:val="001F6FD2"/>
    <w:rsid w:val="00340685"/>
    <w:rsid w:val="003C69EC"/>
    <w:rsid w:val="00432925"/>
    <w:rsid w:val="0043558D"/>
    <w:rsid w:val="004407C4"/>
    <w:rsid w:val="004E5162"/>
    <w:rsid w:val="00535D49"/>
    <w:rsid w:val="005F0DD0"/>
    <w:rsid w:val="005F3930"/>
    <w:rsid w:val="0063552A"/>
    <w:rsid w:val="00683B36"/>
    <w:rsid w:val="00695194"/>
    <w:rsid w:val="006F73E9"/>
    <w:rsid w:val="00774E8A"/>
    <w:rsid w:val="00777607"/>
    <w:rsid w:val="00815DBA"/>
    <w:rsid w:val="0092361D"/>
    <w:rsid w:val="009E2AF1"/>
    <w:rsid w:val="00A4303F"/>
    <w:rsid w:val="00A841AE"/>
    <w:rsid w:val="00C84F45"/>
    <w:rsid w:val="00CB7C26"/>
    <w:rsid w:val="00CF4A94"/>
    <w:rsid w:val="00D16B5A"/>
    <w:rsid w:val="00D40614"/>
    <w:rsid w:val="00D92480"/>
    <w:rsid w:val="00DE19BB"/>
    <w:rsid w:val="00E037F9"/>
    <w:rsid w:val="00E435C6"/>
    <w:rsid w:val="00E57EC4"/>
    <w:rsid w:val="00E85663"/>
    <w:rsid w:val="00E942F9"/>
    <w:rsid w:val="00EA2216"/>
    <w:rsid w:val="00F12A8F"/>
    <w:rsid w:val="00F301B7"/>
    <w:rsid w:val="00F31BEB"/>
    <w:rsid w:val="00F8562B"/>
    <w:rsid w:val="00FB5834"/>
    <w:rsid w:val="00FB5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C5149BB-B9D6-4F04-B8B0-7B4DE670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A4303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color w:val="000000"/>
      <w:sz w:val="24"/>
      <w:szCs w:val="24"/>
      <w:lang w:eastAsia="en-GB"/>
    </w:rPr>
  </w:style>
  <w:style w:type="character" w:styleId="Strong">
    <w:name w:val="Strong"/>
    <w:basedOn w:val="DefaultParagraphFont"/>
    <w:qFormat/>
    <w:rPr>
      <w:b/>
      <w:bCs/>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link w:val="NoSpacingChar"/>
    <w:uiPriority w:val="1"/>
    <w:qFormat/>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pPr>
      <w:spacing w:after="200" w:line="276" w:lineRule="auto"/>
      <w:ind w:left="720"/>
      <w:contextualSpacing/>
    </w:pPr>
    <w:rPr>
      <w:lang w:val="en-US"/>
    </w:rPr>
  </w:style>
  <w:style w:type="paragraph" w:styleId="Header">
    <w:name w:val="header"/>
    <w:basedOn w:val="Normal"/>
    <w:link w:val="HeaderChar"/>
    <w:pPr>
      <w:tabs>
        <w:tab w:val="center" w:pos="4153"/>
        <w:tab w:val="right" w:pos="8306"/>
      </w:tabs>
    </w:pPr>
    <w:rPr>
      <w:rFonts w:ascii="Univers (W1)" w:eastAsia="Times New Roman" w:hAnsi="Univers (W1)" w:cs="Times New Roman"/>
      <w:szCs w:val="20"/>
    </w:rPr>
  </w:style>
  <w:style w:type="character" w:customStyle="1" w:styleId="HeaderChar">
    <w:name w:val="Header Char"/>
    <w:basedOn w:val="DefaultParagraphFont"/>
    <w:link w:val="Header"/>
    <w:rPr>
      <w:rFonts w:ascii="Univers (W1)" w:eastAsia="Times New Roman" w:hAnsi="Univers (W1)" w:cs="Times New Roman"/>
      <w:szCs w:val="20"/>
    </w:rPr>
  </w:style>
  <w:style w:type="paragraph" w:styleId="BodyTextIndent3">
    <w:name w:val="Body Text Indent 3"/>
    <w:basedOn w:val="Normal"/>
    <w:link w:val="BodyTextIndent3Char"/>
    <w:semiHidden/>
    <w:pPr>
      <w:tabs>
        <w:tab w:val="left" w:pos="720"/>
      </w:tabs>
      <w:ind w:left="360"/>
    </w:pPr>
    <w:rPr>
      <w:rFonts w:ascii="Arial" w:eastAsia="Times New Roman" w:hAnsi="Arial" w:cs="Times New Roman"/>
      <w:szCs w:val="20"/>
    </w:rPr>
  </w:style>
  <w:style w:type="character" w:customStyle="1" w:styleId="BodyTextIndent3Char">
    <w:name w:val="Body Text Indent 3 Char"/>
    <w:basedOn w:val="DefaultParagraphFont"/>
    <w:link w:val="BodyTextIndent3"/>
    <w:semiHidden/>
    <w:rPr>
      <w:rFonts w:ascii="Arial" w:eastAsia="Times New Roman" w:hAnsi="Arial" w:cs="Times New Roman"/>
      <w:szCs w:val="20"/>
    </w:rPr>
  </w:style>
  <w:style w:type="paragraph" w:styleId="BodyTextIndent">
    <w:name w:val="Body Text Indent"/>
    <w:basedOn w:val="Normal"/>
    <w:link w:val="BodyTextIndentChar"/>
    <w:semiHidden/>
    <w:pPr>
      <w:ind w:left="720"/>
    </w:pPr>
    <w:rPr>
      <w:rFonts w:ascii="Univers (W1)" w:eastAsia="Times New Roman" w:hAnsi="Univers (W1)" w:cs="Times New Roman"/>
      <w:szCs w:val="20"/>
    </w:rPr>
  </w:style>
  <w:style w:type="character" w:customStyle="1" w:styleId="BodyTextIndentChar">
    <w:name w:val="Body Text Indent Char"/>
    <w:basedOn w:val="DefaultParagraphFont"/>
    <w:link w:val="BodyTextIndent"/>
    <w:semiHidden/>
    <w:rPr>
      <w:rFonts w:ascii="Univers (W1)" w:eastAsia="Times New Roman" w:hAnsi="Univers (W1)" w:cs="Times New Roman"/>
      <w:szCs w:val="20"/>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paragraph" w:styleId="TOCHeading">
    <w:name w:val="TOC Heading"/>
    <w:basedOn w:val="Heading1"/>
    <w:next w:val="Normal"/>
    <w:uiPriority w:val="39"/>
    <w:unhideWhenUsed/>
    <w:qFormat/>
    <w:pPr>
      <w:spacing w:line="276" w:lineRule="auto"/>
      <w:outlineLvl w:val="9"/>
    </w:pPr>
    <w:rPr>
      <w:lang w:val="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customStyle="1" w:styleId="CM12">
    <w:name w:val="CM12"/>
    <w:basedOn w:val="Normal"/>
    <w:next w:val="Normal"/>
    <w:uiPriority w:val="99"/>
    <w:pPr>
      <w:autoSpaceDE w:val="0"/>
      <w:autoSpaceDN w:val="0"/>
      <w:adjustRightInd w:val="0"/>
      <w:spacing w:after="240"/>
    </w:pPr>
    <w:rPr>
      <w:rFonts w:ascii="CHJHJ B+ Helvetica Neue" w:hAnsi="CHJHJ B+ Helvetica Neue"/>
      <w:sz w:val="24"/>
      <w:szCs w:val="24"/>
    </w:rPr>
  </w:style>
  <w:style w:type="paragraph" w:customStyle="1" w:styleId="Default">
    <w:name w:val="Default"/>
    <w:pPr>
      <w:autoSpaceDE w:val="0"/>
      <w:autoSpaceDN w:val="0"/>
      <w:adjustRightInd w:val="0"/>
    </w:pPr>
    <w:rPr>
      <w:rFonts w:ascii="Arial" w:eastAsia="Times New Roman" w:hAnsi="Arial" w:cs="Arial"/>
      <w:color w:val="000000"/>
      <w:sz w:val="24"/>
      <w:szCs w:val="24"/>
      <w:lang w:eastAsia="en-GB"/>
    </w:rPr>
  </w:style>
  <w:style w:type="character" w:customStyle="1" w:styleId="Heading8Char">
    <w:name w:val="Heading 8 Char"/>
    <w:basedOn w:val="DefaultParagraphFont"/>
    <w:link w:val="Heading8"/>
    <w:uiPriority w:val="9"/>
    <w:semiHidden/>
    <w:rsid w:val="00A4303F"/>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iPriority w:val="99"/>
    <w:semiHidden/>
    <w:unhideWhenUsed/>
    <w:rsid w:val="00A4303F"/>
    <w:pPr>
      <w:spacing w:after="120"/>
    </w:pPr>
  </w:style>
  <w:style w:type="character" w:customStyle="1" w:styleId="BodyTextChar">
    <w:name w:val="Body Text Char"/>
    <w:basedOn w:val="DefaultParagraphFont"/>
    <w:link w:val="BodyText"/>
    <w:uiPriority w:val="99"/>
    <w:semiHidden/>
    <w:rsid w:val="00A4303F"/>
  </w:style>
  <w:style w:type="paragraph" w:styleId="BodyTextIndent2">
    <w:name w:val="Body Text Indent 2"/>
    <w:basedOn w:val="Normal"/>
    <w:link w:val="BodyTextIndent2Char"/>
    <w:uiPriority w:val="99"/>
    <w:semiHidden/>
    <w:unhideWhenUsed/>
    <w:rsid w:val="00A4303F"/>
    <w:pPr>
      <w:spacing w:after="120" w:line="480" w:lineRule="auto"/>
      <w:ind w:left="283"/>
    </w:pPr>
  </w:style>
  <w:style w:type="character" w:customStyle="1" w:styleId="BodyTextIndent2Char">
    <w:name w:val="Body Text Indent 2 Char"/>
    <w:basedOn w:val="DefaultParagraphFont"/>
    <w:link w:val="BodyTextIndent2"/>
    <w:uiPriority w:val="99"/>
    <w:semiHidden/>
    <w:rsid w:val="00A4303F"/>
  </w:style>
  <w:style w:type="character" w:customStyle="1" w:styleId="NoSpacingChar">
    <w:name w:val="No Spacing Char"/>
    <w:basedOn w:val="DefaultParagraphFont"/>
    <w:link w:val="NoSpacing"/>
    <w:uiPriority w:val="1"/>
    <w:rsid w:val="00D40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5009">
      <w:bodyDiv w:val="1"/>
      <w:marLeft w:val="0"/>
      <w:marRight w:val="0"/>
      <w:marTop w:val="0"/>
      <w:marBottom w:val="0"/>
      <w:divBdr>
        <w:top w:val="none" w:sz="0" w:space="0" w:color="auto"/>
        <w:left w:val="none" w:sz="0" w:space="0" w:color="auto"/>
        <w:bottom w:val="none" w:sz="0" w:space="0" w:color="auto"/>
        <w:right w:val="none" w:sz="0" w:space="0" w:color="auto"/>
      </w:divBdr>
      <w:divsChild>
        <w:div w:id="1670403842">
          <w:marLeft w:val="0"/>
          <w:marRight w:val="0"/>
          <w:marTop w:val="0"/>
          <w:marBottom w:val="0"/>
          <w:divBdr>
            <w:top w:val="none" w:sz="0" w:space="0" w:color="auto"/>
            <w:left w:val="none" w:sz="0" w:space="0" w:color="auto"/>
            <w:bottom w:val="none" w:sz="0" w:space="0" w:color="auto"/>
            <w:right w:val="none" w:sz="0" w:space="0" w:color="auto"/>
          </w:divBdr>
          <w:divsChild>
            <w:div w:id="360592707">
              <w:marLeft w:val="0"/>
              <w:marRight w:val="0"/>
              <w:marTop w:val="0"/>
              <w:marBottom w:val="0"/>
              <w:divBdr>
                <w:top w:val="none" w:sz="0" w:space="0" w:color="auto"/>
                <w:left w:val="none" w:sz="0" w:space="0" w:color="auto"/>
                <w:bottom w:val="none" w:sz="0" w:space="0" w:color="auto"/>
                <w:right w:val="none" w:sz="0" w:space="0" w:color="auto"/>
              </w:divBdr>
              <w:divsChild>
                <w:div w:id="736588091">
                  <w:marLeft w:val="0"/>
                  <w:marRight w:val="0"/>
                  <w:marTop w:val="0"/>
                  <w:marBottom w:val="0"/>
                  <w:divBdr>
                    <w:top w:val="none" w:sz="0" w:space="0" w:color="auto"/>
                    <w:left w:val="none" w:sz="0" w:space="0" w:color="auto"/>
                    <w:bottom w:val="none" w:sz="0" w:space="0" w:color="auto"/>
                    <w:right w:val="none" w:sz="0" w:space="0" w:color="auto"/>
                  </w:divBdr>
                  <w:divsChild>
                    <w:div w:id="504200632">
                      <w:marLeft w:val="0"/>
                      <w:marRight w:val="0"/>
                      <w:marTop w:val="0"/>
                      <w:marBottom w:val="0"/>
                      <w:divBdr>
                        <w:top w:val="none" w:sz="0" w:space="0" w:color="auto"/>
                        <w:left w:val="none" w:sz="0" w:space="0" w:color="auto"/>
                        <w:bottom w:val="none" w:sz="0" w:space="0" w:color="auto"/>
                        <w:right w:val="none" w:sz="0" w:space="0" w:color="auto"/>
                      </w:divBdr>
                      <w:divsChild>
                        <w:div w:id="491604331">
                          <w:marLeft w:val="0"/>
                          <w:marRight w:val="0"/>
                          <w:marTop w:val="0"/>
                          <w:marBottom w:val="0"/>
                          <w:divBdr>
                            <w:top w:val="none" w:sz="0" w:space="0" w:color="auto"/>
                            <w:left w:val="none" w:sz="0" w:space="0" w:color="auto"/>
                            <w:bottom w:val="none" w:sz="0" w:space="0" w:color="auto"/>
                            <w:right w:val="none" w:sz="0" w:space="0" w:color="auto"/>
                          </w:divBdr>
                          <w:divsChild>
                            <w:div w:id="3590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3410">
      <w:bodyDiv w:val="1"/>
      <w:marLeft w:val="0"/>
      <w:marRight w:val="0"/>
      <w:marTop w:val="0"/>
      <w:marBottom w:val="0"/>
      <w:divBdr>
        <w:top w:val="none" w:sz="0" w:space="0" w:color="auto"/>
        <w:left w:val="none" w:sz="0" w:space="0" w:color="auto"/>
        <w:bottom w:val="none" w:sz="0" w:space="0" w:color="auto"/>
        <w:right w:val="none" w:sz="0" w:space="0" w:color="auto"/>
      </w:divBdr>
    </w:div>
    <w:div w:id="402066176">
      <w:bodyDiv w:val="1"/>
      <w:marLeft w:val="0"/>
      <w:marRight w:val="0"/>
      <w:marTop w:val="0"/>
      <w:marBottom w:val="0"/>
      <w:divBdr>
        <w:top w:val="none" w:sz="0" w:space="0" w:color="auto"/>
        <w:left w:val="none" w:sz="0" w:space="0" w:color="auto"/>
        <w:bottom w:val="none" w:sz="0" w:space="0" w:color="auto"/>
        <w:right w:val="none" w:sz="0" w:space="0" w:color="auto"/>
      </w:divBdr>
    </w:div>
    <w:div w:id="493421732">
      <w:bodyDiv w:val="1"/>
      <w:marLeft w:val="0"/>
      <w:marRight w:val="0"/>
      <w:marTop w:val="0"/>
      <w:marBottom w:val="0"/>
      <w:divBdr>
        <w:top w:val="none" w:sz="0" w:space="0" w:color="auto"/>
        <w:left w:val="none" w:sz="0" w:space="0" w:color="auto"/>
        <w:bottom w:val="none" w:sz="0" w:space="0" w:color="auto"/>
        <w:right w:val="none" w:sz="0" w:space="0" w:color="auto"/>
      </w:divBdr>
    </w:div>
    <w:div w:id="638346642">
      <w:bodyDiv w:val="1"/>
      <w:marLeft w:val="225"/>
      <w:marRight w:val="0"/>
      <w:marTop w:val="300"/>
      <w:marBottom w:val="0"/>
      <w:divBdr>
        <w:top w:val="none" w:sz="0" w:space="0" w:color="auto"/>
        <w:left w:val="none" w:sz="0" w:space="0" w:color="auto"/>
        <w:bottom w:val="none" w:sz="0" w:space="0" w:color="auto"/>
        <w:right w:val="none" w:sz="0" w:space="0" w:color="auto"/>
      </w:divBdr>
      <w:divsChild>
        <w:div w:id="881093927">
          <w:marLeft w:val="0"/>
          <w:marRight w:val="0"/>
          <w:marTop w:val="0"/>
          <w:marBottom w:val="0"/>
          <w:divBdr>
            <w:top w:val="none" w:sz="0" w:space="0" w:color="auto"/>
            <w:left w:val="none" w:sz="0" w:space="0" w:color="auto"/>
            <w:bottom w:val="none" w:sz="0" w:space="0" w:color="auto"/>
            <w:right w:val="none" w:sz="0" w:space="0" w:color="auto"/>
          </w:divBdr>
        </w:div>
      </w:divsChild>
    </w:div>
    <w:div w:id="644701955">
      <w:bodyDiv w:val="1"/>
      <w:marLeft w:val="0"/>
      <w:marRight w:val="0"/>
      <w:marTop w:val="0"/>
      <w:marBottom w:val="0"/>
      <w:divBdr>
        <w:top w:val="none" w:sz="0" w:space="0" w:color="auto"/>
        <w:left w:val="none" w:sz="0" w:space="0" w:color="auto"/>
        <w:bottom w:val="none" w:sz="0" w:space="0" w:color="auto"/>
        <w:right w:val="none" w:sz="0" w:space="0" w:color="auto"/>
      </w:divBdr>
    </w:div>
    <w:div w:id="745691876">
      <w:bodyDiv w:val="1"/>
      <w:marLeft w:val="0"/>
      <w:marRight w:val="0"/>
      <w:marTop w:val="0"/>
      <w:marBottom w:val="0"/>
      <w:divBdr>
        <w:top w:val="none" w:sz="0" w:space="0" w:color="auto"/>
        <w:left w:val="none" w:sz="0" w:space="0" w:color="auto"/>
        <w:bottom w:val="none" w:sz="0" w:space="0" w:color="auto"/>
        <w:right w:val="none" w:sz="0" w:space="0" w:color="auto"/>
      </w:divBdr>
    </w:div>
    <w:div w:id="800346362">
      <w:bodyDiv w:val="1"/>
      <w:marLeft w:val="0"/>
      <w:marRight w:val="0"/>
      <w:marTop w:val="0"/>
      <w:marBottom w:val="0"/>
      <w:divBdr>
        <w:top w:val="none" w:sz="0" w:space="0" w:color="auto"/>
        <w:left w:val="none" w:sz="0" w:space="0" w:color="auto"/>
        <w:bottom w:val="none" w:sz="0" w:space="0" w:color="auto"/>
        <w:right w:val="none" w:sz="0" w:space="0" w:color="auto"/>
      </w:divBdr>
    </w:div>
    <w:div w:id="1003899487">
      <w:bodyDiv w:val="1"/>
      <w:marLeft w:val="0"/>
      <w:marRight w:val="0"/>
      <w:marTop w:val="0"/>
      <w:marBottom w:val="0"/>
      <w:divBdr>
        <w:top w:val="none" w:sz="0" w:space="0" w:color="auto"/>
        <w:left w:val="none" w:sz="0" w:space="0" w:color="auto"/>
        <w:bottom w:val="none" w:sz="0" w:space="0" w:color="auto"/>
        <w:right w:val="none" w:sz="0" w:space="0" w:color="auto"/>
      </w:divBdr>
    </w:div>
    <w:div w:id="1102188408">
      <w:bodyDiv w:val="1"/>
      <w:marLeft w:val="0"/>
      <w:marRight w:val="0"/>
      <w:marTop w:val="0"/>
      <w:marBottom w:val="0"/>
      <w:divBdr>
        <w:top w:val="none" w:sz="0" w:space="0" w:color="auto"/>
        <w:left w:val="none" w:sz="0" w:space="0" w:color="auto"/>
        <w:bottom w:val="none" w:sz="0" w:space="0" w:color="auto"/>
        <w:right w:val="none" w:sz="0" w:space="0" w:color="auto"/>
      </w:divBdr>
    </w:div>
    <w:div w:id="1113130534">
      <w:bodyDiv w:val="1"/>
      <w:marLeft w:val="0"/>
      <w:marRight w:val="0"/>
      <w:marTop w:val="0"/>
      <w:marBottom w:val="0"/>
      <w:divBdr>
        <w:top w:val="none" w:sz="0" w:space="0" w:color="auto"/>
        <w:left w:val="none" w:sz="0" w:space="0" w:color="auto"/>
        <w:bottom w:val="none" w:sz="0" w:space="0" w:color="auto"/>
        <w:right w:val="none" w:sz="0" w:space="0" w:color="auto"/>
      </w:divBdr>
    </w:div>
    <w:div w:id="1296370303">
      <w:bodyDiv w:val="1"/>
      <w:marLeft w:val="0"/>
      <w:marRight w:val="0"/>
      <w:marTop w:val="0"/>
      <w:marBottom w:val="0"/>
      <w:divBdr>
        <w:top w:val="none" w:sz="0" w:space="0" w:color="auto"/>
        <w:left w:val="none" w:sz="0" w:space="0" w:color="auto"/>
        <w:bottom w:val="none" w:sz="0" w:space="0" w:color="auto"/>
        <w:right w:val="none" w:sz="0" w:space="0" w:color="auto"/>
      </w:divBdr>
      <w:divsChild>
        <w:div w:id="245843311">
          <w:marLeft w:val="0"/>
          <w:marRight w:val="0"/>
          <w:marTop w:val="0"/>
          <w:marBottom w:val="0"/>
          <w:divBdr>
            <w:top w:val="none" w:sz="0" w:space="0" w:color="auto"/>
            <w:left w:val="none" w:sz="0" w:space="0" w:color="auto"/>
            <w:bottom w:val="none" w:sz="0" w:space="0" w:color="auto"/>
            <w:right w:val="none" w:sz="0" w:space="0" w:color="auto"/>
          </w:divBdr>
        </w:div>
      </w:divsChild>
    </w:div>
    <w:div w:id="1456752974">
      <w:bodyDiv w:val="1"/>
      <w:marLeft w:val="0"/>
      <w:marRight w:val="0"/>
      <w:marTop w:val="0"/>
      <w:marBottom w:val="0"/>
      <w:divBdr>
        <w:top w:val="none" w:sz="0" w:space="0" w:color="auto"/>
        <w:left w:val="none" w:sz="0" w:space="0" w:color="auto"/>
        <w:bottom w:val="none" w:sz="0" w:space="0" w:color="auto"/>
        <w:right w:val="none" w:sz="0" w:space="0" w:color="auto"/>
      </w:divBdr>
      <w:divsChild>
        <w:div w:id="92169158">
          <w:marLeft w:val="0"/>
          <w:marRight w:val="0"/>
          <w:marTop w:val="0"/>
          <w:marBottom w:val="0"/>
          <w:divBdr>
            <w:top w:val="none" w:sz="0" w:space="0" w:color="auto"/>
            <w:left w:val="none" w:sz="0" w:space="0" w:color="auto"/>
            <w:bottom w:val="none" w:sz="0" w:space="0" w:color="auto"/>
            <w:right w:val="none" w:sz="0" w:space="0" w:color="auto"/>
          </w:divBdr>
        </w:div>
      </w:divsChild>
    </w:div>
    <w:div w:id="1506746512">
      <w:bodyDiv w:val="1"/>
      <w:marLeft w:val="0"/>
      <w:marRight w:val="0"/>
      <w:marTop w:val="0"/>
      <w:marBottom w:val="0"/>
      <w:divBdr>
        <w:top w:val="none" w:sz="0" w:space="0" w:color="auto"/>
        <w:left w:val="none" w:sz="0" w:space="0" w:color="auto"/>
        <w:bottom w:val="none" w:sz="0" w:space="0" w:color="auto"/>
        <w:right w:val="none" w:sz="0" w:space="0" w:color="auto"/>
      </w:divBdr>
    </w:div>
    <w:div w:id="1575238878">
      <w:bodyDiv w:val="1"/>
      <w:marLeft w:val="0"/>
      <w:marRight w:val="0"/>
      <w:marTop w:val="0"/>
      <w:marBottom w:val="0"/>
      <w:divBdr>
        <w:top w:val="none" w:sz="0" w:space="0" w:color="auto"/>
        <w:left w:val="none" w:sz="0" w:space="0" w:color="auto"/>
        <w:bottom w:val="none" w:sz="0" w:space="0" w:color="auto"/>
        <w:right w:val="none" w:sz="0" w:space="0" w:color="auto"/>
      </w:divBdr>
    </w:div>
    <w:div w:id="1958413061">
      <w:bodyDiv w:val="1"/>
      <w:marLeft w:val="0"/>
      <w:marRight w:val="0"/>
      <w:marTop w:val="0"/>
      <w:marBottom w:val="0"/>
      <w:divBdr>
        <w:top w:val="none" w:sz="0" w:space="0" w:color="auto"/>
        <w:left w:val="none" w:sz="0" w:space="0" w:color="auto"/>
        <w:bottom w:val="none" w:sz="0" w:space="0" w:color="auto"/>
        <w:right w:val="none" w:sz="0" w:space="0" w:color="auto"/>
      </w:divBdr>
      <w:divsChild>
        <w:div w:id="1160733793">
          <w:marLeft w:val="0"/>
          <w:marRight w:val="0"/>
          <w:marTop w:val="0"/>
          <w:marBottom w:val="0"/>
          <w:divBdr>
            <w:top w:val="none" w:sz="0" w:space="0" w:color="auto"/>
            <w:left w:val="none" w:sz="0" w:space="0" w:color="auto"/>
            <w:bottom w:val="none" w:sz="0" w:space="0" w:color="auto"/>
            <w:right w:val="none" w:sz="0" w:space="0" w:color="auto"/>
          </w:divBdr>
          <w:divsChild>
            <w:div w:id="383216903">
              <w:marLeft w:val="0"/>
              <w:marRight w:val="0"/>
              <w:marTop w:val="150"/>
              <w:marBottom w:val="15"/>
              <w:divBdr>
                <w:top w:val="none" w:sz="0" w:space="0" w:color="auto"/>
                <w:left w:val="none" w:sz="0" w:space="0" w:color="auto"/>
                <w:bottom w:val="single" w:sz="6" w:space="0" w:color="466FA0"/>
                <w:right w:val="none" w:sz="0" w:space="0" w:color="auto"/>
              </w:divBdr>
              <w:divsChild>
                <w:div w:id="28458629">
                  <w:marLeft w:val="3150"/>
                  <w:marRight w:val="0"/>
                  <w:marTop w:val="0"/>
                  <w:marBottom w:val="0"/>
                  <w:divBdr>
                    <w:top w:val="none" w:sz="0" w:space="0" w:color="auto"/>
                    <w:left w:val="none" w:sz="0" w:space="0" w:color="auto"/>
                    <w:bottom w:val="none" w:sz="0" w:space="0" w:color="auto"/>
                    <w:right w:val="none" w:sz="0" w:space="0" w:color="auto"/>
                  </w:divBdr>
                  <w:divsChild>
                    <w:div w:id="2806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86098">
      <w:bodyDiv w:val="1"/>
      <w:marLeft w:val="0"/>
      <w:marRight w:val="0"/>
      <w:marTop w:val="15"/>
      <w:marBottom w:val="180"/>
      <w:divBdr>
        <w:top w:val="none" w:sz="0" w:space="0" w:color="auto"/>
        <w:left w:val="none" w:sz="0" w:space="0" w:color="auto"/>
        <w:bottom w:val="none" w:sz="0" w:space="0" w:color="auto"/>
        <w:right w:val="none" w:sz="0" w:space="0" w:color="auto"/>
      </w:divBdr>
      <w:divsChild>
        <w:div w:id="414013319">
          <w:marLeft w:val="0"/>
          <w:marRight w:val="0"/>
          <w:marTop w:val="0"/>
          <w:marBottom w:val="0"/>
          <w:divBdr>
            <w:top w:val="none" w:sz="0" w:space="0" w:color="006699"/>
            <w:left w:val="single" w:sz="6" w:space="0" w:color="006699"/>
            <w:bottom w:val="single" w:sz="6" w:space="0" w:color="006699"/>
            <w:right w:val="single" w:sz="6" w:space="0" w:color="006699"/>
          </w:divBdr>
          <w:divsChild>
            <w:div w:id="222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tra-e-web/Staff/Policies/Sickness_Absence_Management_PROCEDURE_Sept_08.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tra-e-web/Staff/Policies/Sickness_Absence_Management_PROCEDURE_Sept_08.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intra-e-web/Staff/Policies/Sickness_Absence_Management_PROCEDURE_Sept_08.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tra-e-web/Staff/Policies/Sickness_Absence_Management_PROCEDURE_Sept_0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7D8BD919AC714DAA5F2824725BE4AA" ma:contentTypeVersion="0" ma:contentTypeDescription="Create a new document." ma:contentTypeScope="" ma:versionID="4713210da93586b288c59f46b2a88d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F6DFA-F2F0-4E65-A6D8-E283C5E77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904DB50-B394-4626-AE24-17E6EC668070}">
  <ds:schemaRef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C5FCAA55-439D-4481-9F23-0AA5A6AA5B8F}">
  <ds:schemaRefs>
    <ds:schemaRef ds:uri="http://schemas.microsoft.com/sharepoint/v3/contenttype/forms"/>
  </ds:schemaRefs>
</ds:datastoreItem>
</file>

<file path=customXml/itemProps4.xml><?xml version="1.0" encoding="utf-8"?>
<ds:datastoreItem xmlns:ds="http://schemas.openxmlformats.org/officeDocument/2006/customXml" ds:itemID="{64CEB360-8D2C-4DD0-B670-1A4E3702E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7</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The Eastwood School</Company>
  <LinksUpToDate>false</LinksUpToDate>
  <CharactersWithSpaces>11109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NHouchen</dc:creator>
  <cp:lastModifiedBy>Neil Houchen</cp:lastModifiedBy>
  <cp:revision>17</cp:revision>
  <cp:lastPrinted>2017-06-23T13:00:00Z</cp:lastPrinted>
  <dcterms:created xsi:type="dcterms:W3CDTF">2014-06-16T09:14:00Z</dcterms:created>
  <dcterms:modified xsi:type="dcterms:W3CDTF">2017-06-23T13:00:00Z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0x010100A27D8BD919AC714DAA5F2824725BE4AA</vt:lpwstr>
  </property>
</Properties>
</file>