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F2" w:rsidRDefault="00345CF2">
      <w:pPr>
        <w:jc w:val="center"/>
        <w:rPr>
          <w:rFonts w:ascii="Calibri" w:hAnsi="Calibri" w:cs="Arial"/>
          <w:sz w:val="72"/>
        </w:rPr>
      </w:pPr>
    </w:p>
    <w:p w:rsidR="00AD24D7" w:rsidRDefault="00AD24D7">
      <w:pPr>
        <w:jc w:val="center"/>
        <w:rPr>
          <w:rFonts w:ascii="Calibri" w:hAnsi="Calibri" w:cs="Arial"/>
          <w:sz w:val="72"/>
        </w:rPr>
      </w:pPr>
    </w:p>
    <w:p w:rsidR="00345CF2" w:rsidRDefault="00345CF2">
      <w:pPr>
        <w:jc w:val="center"/>
        <w:rPr>
          <w:rFonts w:ascii="Calibri" w:hAnsi="Calibri" w:cs="Arial"/>
        </w:rPr>
      </w:pPr>
    </w:p>
    <w:p w:rsidR="00EA046C" w:rsidRDefault="00EA046C">
      <w:pPr>
        <w:jc w:val="center"/>
        <w:rPr>
          <w:rFonts w:ascii="Calibri" w:hAnsi="Calibri" w:cs="Arial"/>
        </w:rPr>
      </w:pPr>
    </w:p>
    <w:p w:rsidR="00EA046C" w:rsidRPr="00EA046C" w:rsidRDefault="00EA046C">
      <w:pPr>
        <w:jc w:val="center"/>
        <w:rPr>
          <w:rFonts w:ascii="Calibri" w:hAnsi="Calibri" w:cs="Arial"/>
        </w:rPr>
      </w:pPr>
    </w:p>
    <w:p w:rsidR="00355CB7" w:rsidRPr="00EA046C" w:rsidRDefault="009344D6" w:rsidP="00EA046C">
      <w:pPr>
        <w:jc w:val="center"/>
        <w:rPr>
          <w:rFonts w:ascii="Calibri" w:hAnsi="Calibri"/>
          <w:sz w:val="72"/>
        </w:rPr>
      </w:pPr>
      <w:r>
        <w:rPr>
          <w:rFonts w:ascii="Calibri" w:hAnsi="Calibri" w:cs="Arial"/>
          <w:sz w:val="72"/>
        </w:rPr>
        <w:t>Numeracy</w:t>
      </w:r>
      <w:r w:rsidR="007033CE">
        <w:rPr>
          <w:rFonts w:ascii="Calibri" w:hAnsi="Calibri" w:cs="Arial"/>
          <w:sz w:val="72"/>
        </w:rPr>
        <w:t xml:space="preserve"> Policy</w:t>
      </w:r>
    </w:p>
    <w:p w:rsidR="00355CB7" w:rsidRDefault="00E724D5" w:rsidP="00EA046C">
      <w:pPr>
        <w:jc w:val="center"/>
        <w:rPr>
          <w:rFonts w:ascii="Calibri" w:hAnsi="Calibri" w:cs="Arial"/>
          <w:szCs w:val="28"/>
        </w:rPr>
      </w:pPr>
      <w:r w:rsidRPr="00F53CC8">
        <w:rPr>
          <w:rFonts w:cs="Arial"/>
          <w:noProof/>
          <w:sz w:val="28"/>
          <w:szCs w:val="28"/>
          <w:lang w:eastAsia="en-GB"/>
        </w:rPr>
        <w:drawing>
          <wp:inline distT="0" distB="0" distL="0" distR="0" wp14:anchorId="2EAC945A" wp14:editId="2DC40D46">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5CB7">
        <w:trPr>
          <w:jc w:val="center"/>
        </w:trPr>
        <w:tc>
          <w:tcPr>
            <w:tcW w:w="4428" w:type="dxa"/>
            <w:shd w:val="clear" w:color="auto" w:fill="auto"/>
          </w:tcPr>
          <w:p w:rsidR="00355CB7" w:rsidRDefault="007033CE">
            <w:pPr>
              <w:pStyle w:val="NoSpacing"/>
            </w:pPr>
            <w:r>
              <w:t xml:space="preserve">Author’s Name: </w:t>
            </w:r>
          </w:p>
        </w:tc>
        <w:tc>
          <w:tcPr>
            <w:tcW w:w="4428" w:type="dxa"/>
            <w:shd w:val="clear" w:color="auto" w:fill="auto"/>
          </w:tcPr>
          <w:p w:rsidR="00355CB7" w:rsidRDefault="007033CE">
            <w:pPr>
              <w:pStyle w:val="NoSpacing"/>
            </w:pPr>
            <w:r>
              <w:t>Mr N. Houchen</w:t>
            </w:r>
          </w:p>
        </w:tc>
      </w:tr>
      <w:tr w:rsidR="00355CB7">
        <w:trPr>
          <w:jc w:val="center"/>
        </w:trPr>
        <w:tc>
          <w:tcPr>
            <w:tcW w:w="4428" w:type="dxa"/>
            <w:shd w:val="clear" w:color="auto" w:fill="auto"/>
          </w:tcPr>
          <w:p w:rsidR="00355CB7" w:rsidRDefault="007033CE">
            <w:pPr>
              <w:pStyle w:val="NoSpacing"/>
            </w:pPr>
            <w:r>
              <w:t>Date Reviewed</w:t>
            </w:r>
          </w:p>
        </w:tc>
        <w:tc>
          <w:tcPr>
            <w:tcW w:w="4428" w:type="dxa"/>
            <w:shd w:val="clear" w:color="auto" w:fill="auto"/>
          </w:tcPr>
          <w:p w:rsidR="00355CB7" w:rsidRDefault="00EA046C">
            <w:pPr>
              <w:pStyle w:val="NoSpacing"/>
            </w:pPr>
            <w:r>
              <w:t>June 2017</w:t>
            </w:r>
          </w:p>
        </w:tc>
      </w:tr>
      <w:tr w:rsidR="00355CB7">
        <w:trPr>
          <w:jc w:val="center"/>
        </w:trPr>
        <w:tc>
          <w:tcPr>
            <w:tcW w:w="4428" w:type="dxa"/>
            <w:tcBorders>
              <w:bottom w:val="single" w:sz="4" w:space="0" w:color="auto"/>
            </w:tcBorders>
            <w:shd w:val="clear" w:color="auto" w:fill="auto"/>
          </w:tcPr>
          <w:p w:rsidR="00355CB7" w:rsidRDefault="007033CE">
            <w:pPr>
              <w:pStyle w:val="NoSpacing"/>
            </w:pPr>
            <w:r>
              <w:t>Date Ratified by Governing Body</w:t>
            </w:r>
          </w:p>
        </w:tc>
        <w:tc>
          <w:tcPr>
            <w:tcW w:w="4428" w:type="dxa"/>
            <w:tcBorders>
              <w:bottom w:val="single" w:sz="4" w:space="0" w:color="auto"/>
            </w:tcBorders>
            <w:shd w:val="clear" w:color="auto" w:fill="auto"/>
          </w:tcPr>
          <w:p w:rsidR="00355CB7" w:rsidRDefault="00355CB7">
            <w:pPr>
              <w:pStyle w:val="NoSpacing"/>
            </w:pPr>
          </w:p>
        </w:tc>
      </w:tr>
      <w:tr w:rsidR="00355CB7">
        <w:trPr>
          <w:jc w:val="center"/>
        </w:trPr>
        <w:tc>
          <w:tcPr>
            <w:tcW w:w="4428" w:type="dxa"/>
            <w:shd w:val="pct12" w:color="auto" w:fill="auto"/>
          </w:tcPr>
          <w:p w:rsidR="00355CB7" w:rsidRDefault="00355CB7">
            <w:pPr>
              <w:pStyle w:val="NoSpacing"/>
            </w:pPr>
          </w:p>
        </w:tc>
        <w:tc>
          <w:tcPr>
            <w:tcW w:w="4428" w:type="dxa"/>
            <w:shd w:val="pct12" w:color="auto" w:fill="auto"/>
          </w:tcPr>
          <w:p w:rsidR="00355CB7" w:rsidRDefault="00355CB7">
            <w:pPr>
              <w:pStyle w:val="NoSpacing"/>
            </w:pPr>
          </w:p>
        </w:tc>
      </w:tr>
      <w:tr w:rsidR="00355CB7">
        <w:trPr>
          <w:jc w:val="center"/>
        </w:trPr>
        <w:tc>
          <w:tcPr>
            <w:tcW w:w="4428" w:type="dxa"/>
            <w:shd w:val="clear" w:color="auto" w:fill="auto"/>
          </w:tcPr>
          <w:p w:rsidR="00355CB7" w:rsidRDefault="007033CE">
            <w:pPr>
              <w:pStyle w:val="NoSpacing"/>
            </w:pPr>
            <w:r>
              <w:t>Signature of Principal</w:t>
            </w:r>
          </w:p>
        </w:tc>
        <w:tc>
          <w:tcPr>
            <w:tcW w:w="4428" w:type="dxa"/>
            <w:shd w:val="clear" w:color="auto" w:fill="auto"/>
          </w:tcPr>
          <w:p w:rsidR="00355CB7" w:rsidRDefault="00355CB7">
            <w:pPr>
              <w:pStyle w:val="NoSpacing"/>
            </w:pPr>
          </w:p>
        </w:tc>
      </w:tr>
      <w:tr w:rsidR="00355CB7">
        <w:trPr>
          <w:jc w:val="center"/>
        </w:trPr>
        <w:tc>
          <w:tcPr>
            <w:tcW w:w="4428" w:type="dxa"/>
            <w:shd w:val="clear" w:color="auto" w:fill="auto"/>
          </w:tcPr>
          <w:p w:rsidR="00355CB7" w:rsidRDefault="007033CE">
            <w:pPr>
              <w:pStyle w:val="NoSpacing"/>
            </w:pPr>
            <w:r>
              <w:t>Signature of Chair of Governors</w:t>
            </w:r>
          </w:p>
        </w:tc>
        <w:tc>
          <w:tcPr>
            <w:tcW w:w="4428" w:type="dxa"/>
            <w:shd w:val="clear" w:color="auto" w:fill="auto"/>
          </w:tcPr>
          <w:p w:rsidR="00355CB7" w:rsidRDefault="00355CB7">
            <w:pPr>
              <w:pStyle w:val="NoSpacing"/>
            </w:pPr>
          </w:p>
        </w:tc>
      </w:tr>
    </w:tbl>
    <w:p w:rsidR="00355CB7" w:rsidRDefault="00355CB7">
      <w:pPr>
        <w:pStyle w:val="NoSpacing"/>
      </w:pPr>
    </w:p>
    <w:p w:rsidR="00355CB7" w:rsidRDefault="00355CB7">
      <w:pPr>
        <w:pStyle w:val="NoSpacing"/>
      </w:pPr>
    </w:p>
    <w:p w:rsidR="00355CB7" w:rsidRDefault="00355CB7">
      <w:pPr>
        <w:pStyle w:val="Title"/>
        <w:rPr>
          <w:rFonts w:ascii="Calibri" w:hAnsi="Calibri" w:cs="Calibri"/>
          <w:bCs/>
          <w:color w:val="000000"/>
          <w:sz w:val="24"/>
          <w:szCs w:val="24"/>
          <w:u w:val="none"/>
        </w:rPr>
      </w:pPr>
    </w:p>
    <w:p w:rsidR="00355CB7" w:rsidRDefault="00355CB7">
      <w:pPr>
        <w:pStyle w:val="Title"/>
        <w:rPr>
          <w:rFonts w:ascii="Calibri" w:hAnsi="Calibri" w:cs="Calibri"/>
          <w:bCs/>
          <w:color w:val="000000"/>
          <w:sz w:val="24"/>
          <w:szCs w:val="24"/>
          <w:u w:val="none"/>
        </w:rPr>
      </w:pPr>
    </w:p>
    <w:p w:rsidR="00355CB7" w:rsidRDefault="00355CB7">
      <w:pPr>
        <w:pStyle w:val="Title"/>
        <w:jc w:val="left"/>
        <w:rPr>
          <w:rFonts w:ascii="Calibri" w:hAnsi="Calibri" w:cs="Calibri"/>
          <w:b w:val="0"/>
          <w:bCs/>
          <w:color w:val="000000"/>
          <w:sz w:val="28"/>
          <w:szCs w:val="28"/>
          <w:u w:val="none"/>
        </w:rPr>
      </w:pPr>
    </w:p>
    <w:p w:rsidR="00355CB7" w:rsidRDefault="00355CB7">
      <w:pPr>
        <w:pStyle w:val="Title"/>
        <w:jc w:val="left"/>
        <w:rPr>
          <w:rFonts w:ascii="Calibri" w:hAnsi="Calibri" w:cs="Calibri"/>
          <w:b w:val="0"/>
          <w:bCs/>
          <w:color w:val="000000"/>
          <w:sz w:val="28"/>
          <w:szCs w:val="28"/>
          <w:u w:val="none"/>
        </w:rPr>
      </w:pPr>
    </w:p>
    <w:p w:rsidR="00355CB7" w:rsidRDefault="00355CB7">
      <w:pPr>
        <w:pStyle w:val="Title"/>
        <w:jc w:val="left"/>
        <w:rPr>
          <w:rFonts w:ascii="Calibri" w:hAnsi="Calibri" w:cs="Calibri"/>
          <w:b w:val="0"/>
          <w:bCs/>
          <w:color w:val="000000"/>
          <w:sz w:val="28"/>
          <w:szCs w:val="28"/>
          <w:u w:val="none"/>
        </w:rPr>
      </w:pPr>
    </w:p>
    <w:p w:rsidR="00E62D15" w:rsidRDefault="00E62D15">
      <w:pPr>
        <w:pStyle w:val="Title"/>
        <w:jc w:val="left"/>
        <w:rPr>
          <w:rFonts w:ascii="Calibri" w:hAnsi="Calibri" w:cs="Calibri"/>
          <w:b w:val="0"/>
          <w:bCs/>
          <w:color w:val="000000"/>
          <w:sz w:val="28"/>
          <w:szCs w:val="28"/>
          <w:u w:val="none"/>
        </w:rPr>
      </w:pPr>
    </w:p>
    <w:p w:rsidR="00E62D15" w:rsidRDefault="00E62D15">
      <w:pPr>
        <w:pStyle w:val="Title"/>
        <w:jc w:val="left"/>
        <w:rPr>
          <w:rFonts w:ascii="Calibri" w:hAnsi="Calibri" w:cs="Calibri"/>
          <w:b w:val="0"/>
          <w:bCs/>
          <w:color w:val="000000"/>
          <w:sz w:val="28"/>
          <w:szCs w:val="28"/>
          <w:u w:val="none"/>
        </w:rPr>
      </w:pPr>
    </w:p>
    <w:p w:rsidR="00EA7218" w:rsidRDefault="00EA7218">
      <w:pPr>
        <w:pStyle w:val="Title"/>
        <w:jc w:val="left"/>
        <w:rPr>
          <w:rFonts w:ascii="Calibri" w:hAnsi="Calibri" w:cs="Calibri"/>
          <w:b w:val="0"/>
          <w:bCs/>
          <w:color w:val="000000"/>
          <w:sz w:val="28"/>
          <w:szCs w:val="28"/>
          <w:u w:val="none"/>
        </w:rPr>
      </w:pPr>
    </w:p>
    <w:p w:rsidR="00EA7218" w:rsidRDefault="00EA7218">
      <w:pPr>
        <w:pStyle w:val="Title"/>
        <w:jc w:val="left"/>
        <w:rPr>
          <w:rFonts w:ascii="Calibri" w:hAnsi="Calibri" w:cs="Calibri"/>
          <w:b w:val="0"/>
          <w:bCs/>
          <w:color w:val="000000"/>
          <w:sz w:val="28"/>
          <w:szCs w:val="28"/>
          <w:u w:val="none"/>
        </w:rPr>
      </w:pPr>
    </w:p>
    <w:p w:rsidR="00355CB7" w:rsidRDefault="00355CB7">
      <w:pPr>
        <w:pStyle w:val="Title"/>
        <w:jc w:val="left"/>
        <w:rPr>
          <w:rFonts w:ascii="Calibri" w:hAnsi="Calibri" w:cs="Calibri"/>
          <w:color w:val="000000"/>
          <w:sz w:val="28"/>
          <w:szCs w:val="28"/>
        </w:rPr>
      </w:pPr>
    </w:p>
    <w:sdt>
      <w:sdtPr>
        <w:rPr>
          <w:rFonts w:asciiTheme="minorHAnsi" w:eastAsiaTheme="minorHAnsi" w:hAnsiTheme="minorHAnsi" w:cstheme="minorBidi"/>
          <w:b w:val="0"/>
          <w:bCs w:val="0"/>
          <w:color w:val="auto"/>
          <w:sz w:val="22"/>
          <w:szCs w:val="22"/>
          <w:lang w:val="en-GB" w:eastAsia="en-US"/>
        </w:rPr>
        <w:id w:val="1271357367"/>
        <w:docPartObj>
          <w:docPartGallery w:val="Table of Contents"/>
          <w:docPartUnique/>
        </w:docPartObj>
      </w:sdtPr>
      <w:sdtEndPr>
        <w:rPr>
          <w:noProof/>
        </w:rPr>
      </w:sdtEndPr>
      <w:sdtContent>
        <w:p w:rsidR="001D7BBF" w:rsidRPr="001D7BBF" w:rsidRDefault="001D7BBF" w:rsidP="001D7BBF">
          <w:pPr>
            <w:pStyle w:val="TOCHeading"/>
            <w:jc w:val="center"/>
            <w:rPr>
              <w:rFonts w:asciiTheme="minorHAnsi" w:hAnsiTheme="minorHAnsi"/>
              <w:color w:val="auto"/>
            </w:rPr>
          </w:pPr>
          <w:r w:rsidRPr="001D7BBF">
            <w:rPr>
              <w:rFonts w:asciiTheme="minorHAnsi" w:hAnsiTheme="minorHAnsi"/>
              <w:color w:val="auto"/>
            </w:rPr>
            <w:t>Contents</w:t>
          </w:r>
        </w:p>
        <w:p w:rsidR="001D7BBF" w:rsidRDefault="001D7BBF">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53666329" w:history="1">
            <w:r w:rsidRPr="00926C2F">
              <w:rPr>
                <w:rStyle w:val="Hyperlink"/>
                <w:rFonts w:ascii="Calibri" w:hAnsi="Calibri" w:cs="Calibri"/>
                <w:noProof/>
                <w:lang w:eastAsia="en-GB"/>
              </w:rPr>
              <w:t>1.0</w:t>
            </w:r>
            <w:r>
              <w:rPr>
                <w:rFonts w:eastAsiaTheme="minorEastAsia"/>
                <w:noProof/>
                <w:lang w:eastAsia="en-GB"/>
              </w:rPr>
              <w:t xml:space="preserve"> </w:t>
            </w:r>
            <w:r w:rsidRPr="00926C2F">
              <w:rPr>
                <w:rStyle w:val="Hyperlink"/>
                <w:rFonts w:ascii="Calibri" w:hAnsi="Calibri" w:cs="Calibri"/>
                <w:noProof/>
                <w:lang w:eastAsia="en-GB"/>
              </w:rPr>
              <w:t>Introduction</w:t>
            </w:r>
            <w:r>
              <w:rPr>
                <w:noProof/>
                <w:webHidden/>
              </w:rPr>
              <w:tab/>
            </w:r>
            <w:r>
              <w:rPr>
                <w:noProof/>
                <w:webHidden/>
              </w:rPr>
              <w:fldChar w:fldCharType="begin"/>
            </w:r>
            <w:r>
              <w:rPr>
                <w:noProof/>
                <w:webHidden/>
              </w:rPr>
              <w:instrText xml:space="preserve"> PAGEREF _Toc453666329 \h </w:instrText>
            </w:r>
            <w:r>
              <w:rPr>
                <w:noProof/>
                <w:webHidden/>
              </w:rPr>
            </w:r>
            <w:r>
              <w:rPr>
                <w:noProof/>
                <w:webHidden/>
              </w:rPr>
              <w:fldChar w:fldCharType="separate"/>
            </w:r>
            <w:r w:rsidR="00B132BA">
              <w:rPr>
                <w:noProof/>
                <w:webHidden/>
              </w:rPr>
              <w:t>3</w:t>
            </w:r>
            <w:r>
              <w:rPr>
                <w:noProof/>
                <w:webHidden/>
              </w:rPr>
              <w:fldChar w:fldCharType="end"/>
            </w:r>
          </w:hyperlink>
        </w:p>
        <w:p w:rsidR="001D7BBF" w:rsidRDefault="007324DF">
          <w:pPr>
            <w:pStyle w:val="TOC1"/>
            <w:tabs>
              <w:tab w:val="left" w:pos="660"/>
              <w:tab w:val="right" w:leader="dot" w:pos="9016"/>
            </w:tabs>
            <w:rPr>
              <w:rFonts w:eastAsiaTheme="minorEastAsia"/>
              <w:noProof/>
              <w:lang w:eastAsia="en-GB"/>
            </w:rPr>
          </w:pPr>
          <w:hyperlink w:anchor="_Toc453666330" w:history="1">
            <w:r w:rsidR="001D7BBF" w:rsidRPr="00926C2F">
              <w:rPr>
                <w:rStyle w:val="Hyperlink"/>
                <w:rFonts w:ascii="Calibri" w:hAnsi="Calibri" w:cs="Calibri"/>
                <w:noProof/>
                <w:lang w:eastAsia="en-GB"/>
              </w:rPr>
              <w:t>2.0</w:t>
            </w:r>
            <w:r w:rsidR="001D7BBF">
              <w:rPr>
                <w:rFonts w:eastAsiaTheme="minorEastAsia"/>
                <w:noProof/>
                <w:lang w:eastAsia="en-GB"/>
              </w:rPr>
              <w:t xml:space="preserve"> </w:t>
            </w:r>
            <w:r w:rsidR="001D7BBF" w:rsidRPr="00926C2F">
              <w:rPr>
                <w:rStyle w:val="Hyperlink"/>
                <w:rFonts w:ascii="Calibri" w:hAnsi="Calibri" w:cs="Calibri"/>
                <w:noProof/>
                <w:lang w:eastAsia="en-GB"/>
              </w:rPr>
              <w:t>Definition</w:t>
            </w:r>
            <w:r w:rsidR="001D7BBF">
              <w:rPr>
                <w:noProof/>
                <w:webHidden/>
              </w:rPr>
              <w:tab/>
            </w:r>
            <w:r w:rsidR="001D7BBF">
              <w:rPr>
                <w:noProof/>
                <w:webHidden/>
              </w:rPr>
              <w:fldChar w:fldCharType="begin"/>
            </w:r>
            <w:r w:rsidR="001D7BBF">
              <w:rPr>
                <w:noProof/>
                <w:webHidden/>
              </w:rPr>
              <w:instrText xml:space="preserve"> PAGEREF _Toc453666330 \h </w:instrText>
            </w:r>
            <w:r w:rsidR="001D7BBF">
              <w:rPr>
                <w:noProof/>
                <w:webHidden/>
              </w:rPr>
            </w:r>
            <w:r w:rsidR="001D7BBF">
              <w:rPr>
                <w:noProof/>
                <w:webHidden/>
              </w:rPr>
              <w:fldChar w:fldCharType="separate"/>
            </w:r>
            <w:r w:rsidR="00B132BA">
              <w:rPr>
                <w:noProof/>
                <w:webHidden/>
              </w:rPr>
              <w:t>3</w:t>
            </w:r>
            <w:r w:rsidR="001D7BBF">
              <w:rPr>
                <w:noProof/>
                <w:webHidden/>
              </w:rPr>
              <w:fldChar w:fldCharType="end"/>
            </w:r>
          </w:hyperlink>
        </w:p>
        <w:p w:rsidR="001D7BBF" w:rsidRDefault="007324DF">
          <w:pPr>
            <w:pStyle w:val="TOC1"/>
            <w:tabs>
              <w:tab w:val="right" w:leader="dot" w:pos="9016"/>
            </w:tabs>
            <w:rPr>
              <w:rFonts w:eastAsiaTheme="minorEastAsia"/>
              <w:noProof/>
              <w:lang w:eastAsia="en-GB"/>
            </w:rPr>
          </w:pPr>
          <w:hyperlink w:anchor="_Toc453666331" w:history="1">
            <w:r w:rsidR="001D7BBF" w:rsidRPr="00926C2F">
              <w:rPr>
                <w:rStyle w:val="Hyperlink"/>
                <w:rFonts w:cstheme="minorHAnsi"/>
                <w:noProof/>
              </w:rPr>
              <w:t>3.0 Policy Aims</w:t>
            </w:r>
            <w:r w:rsidR="001D7BBF">
              <w:rPr>
                <w:noProof/>
                <w:webHidden/>
              </w:rPr>
              <w:tab/>
            </w:r>
            <w:r w:rsidR="001D7BBF">
              <w:rPr>
                <w:noProof/>
                <w:webHidden/>
              </w:rPr>
              <w:fldChar w:fldCharType="begin"/>
            </w:r>
            <w:r w:rsidR="001D7BBF">
              <w:rPr>
                <w:noProof/>
                <w:webHidden/>
              </w:rPr>
              <w:instrText xml:space="preserve"> PAGEREF _Toc453666331 \h </w:instrText>
            </w:r>
            <w:r w:rsidR="001D7BBF">
              <w:rPr>
                <w:noProof/>
                <w:webHidden/>
              </w:rPr>
            </w:r>
            <w:r w:rsidR="001D7BBF">
              <w:rPr>
                <w:noProof/>
                <w:webHidden/>
              </w:rPr>
              <w:fldChar w:fldCharType="separate"/>
            </w:r>
            <w:r w:rsidR="00B132BA">
              <w:rPr>
                <w:noProof/>
                <w:webHidden/>
              </w:rPr>
              <w:t>3</w:t>
            </w:r>
            <w:r w:rsidR="001D7BBF">
              <w:rPr>
                <w:noProof/>
                <w:webHidden/>
              </w:rPr>
              <w:fldChar w:fldCharType="end"/>
            </w:r>
          </w:hyperlink>
        </w:p>
        <w:p w:rsidR="001D7BBF" w:rsidRDefault="007324DF">
          <w:pPr>
            <w:pStyle w:val="TOC1"/>
            <w:tabs>
              <w:tab w:val="right" w:leader="dot" w:pos="9016"/>
            </w:tabs>
            <w:rPr>
              <w:rFonts w:eastAsiaTheme="minorEastAsia"/>
              <w:noProof/>
              <w:lang w:eastAsia="en-GB"/>
            </w:rPr>
          </w:pPr>
          <w:hyperlink w:anchor="_Toc453666332" w:history="1">
            <w:r w:rsidR="001D7BBF" w:rsidRPr="00926C2F">
              <w:rPr>
                <w:rStyle w:val="Hyperlink"/>
                <w:rFonts w:cstheme="minorHAnsi"/>
                <w:noProof/>
              </w:rPr>
              <w:t>4.0 Curriculum Mapping of Numeracy</w:t>
            </w:r>
            <w:r w:rsidR="001D7BBF">
              <w:rPr>
                <w:noProof/>
                <w:webHidden/>
              </w:rPr>
              <w:tab/>
            </w:r>
            <w:r w:rsidR="001D7BBF">
              <w:rPr>
                <w:noProof/>
                <w:webHidden/>
              </w:rPr>
              <w:fldChar w:fldCharType="begin"/>
            </w:r>
            <w:r w:rsidR="001D7BBF">
              <w:rPr>
                <w:noProof/>
                <w:webHidden/>
              </w:rPr>
              <w:instrText xml:space="preserve"> PAGEREF _Toc453666332 \h </w:instrText>
            </w:r>
            <w:r w:rsidR="001D7BBF">
              <w:rPr>
                <w:noProof/>
                <w:webHidden/>
              </w:rPr>
            </w:r>
            <w:r w:rsidR="001D7BBF">
              <w:rPr>
                <w:noProof/>
                <w:webHidden/>
              </w:rPr>
              <w:fldChar w:fldCharType="separate"/>
            </w:r>
            <w:r w:rsidR="00B132BA">
              <w:rPr>
                <w:noProof/>
                <w:webHidden/>
              </w:rPr>
              <w:t>4</w:t>
            </w:r>
            <w:r w:rsidR="001D7BBF">
              <w:rPr>
                <w:noProof/>
                <w:webHidden/>
              </w:rPr>
              <w:fldChar w:fldCharType="end"/>
            </w:r>
          </w:hyperlink>
        </w:p>
        <w:p w:rsidR="001D7BBF" w:rsidRDefault="001D7BBF">
          <w:r>
            <w:rPr>
              <w:b/>
              <w:bCs/>
              <w:noProof/>
            </w:rPr>
            <w:fldChar w:fldCharType="end"/>
          </w:r>
        </w:p>
      </w:sdtContent>
    </w:sdt>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1D7BBF" w:rsidRDefault="001D7BBF">
      <w:pPr>
        <w:pStyle w:val="Title"/>
        <w:jc w:val="left"/>
        <w:rPr>
          <w:rFonts w:ascii="Calibri" w:hAnsi="Calibri" w:cs="Calibri"/>
          <w:color w:val="000000"/>
          <w:sz w:val="28"/>
          <w:szCs w:val="28"/>
        </w:rPr>
      </w:pPr>
    </w:p>
    <w:p w:rsidR="009344D6" w:rsidRDefault="009344D6" w:rsidP="009344D6">
      <w:pPr>
        <w:pStyle w:val="Heading1"/>
        <w:numPr>
          <w:ilvl w:val="0"/>
          <w:numId w:val="11"/>
        </w:numPr>
        <w:rPr>
          <w:rFonts w:ascii="Calibri" w:hAnsi="Calibri" w:cs="Calibri"/>
          <w:color w:val="auto"/>
          <w:lang w:eastAsia="en-GB"/>
        </w:rPr>
      </w:pPr>
      <w:bookmarkStart w:id="0" w:name="_Toc453666329"/>
      <w:r w:rsidRPr="009344D6">
        <w:rPr>
          <w:rFonts w:ascii="Calibri" w:hAnsi="Calibri" w:cs="Calibri"/>
          <w:color w:val="auto"/>
          <w:lang w:eastAsia="en-GB"/>
        </w:rPr>
        <w:lastRenderedPageBreak/>
        <w:t>Introduction</w:t>
      </w:r>
      <w:bookmarkEnd w:id="0"/>
    </w:p>
    <w:p w:rsidR="009344D6" w:rsidRPr="009344D6" w:rsidRDefault="009344D6" w:rsidP="009344D6">
      <w:pPr>
        <w:pStyle w:val="NoSpacing"/>
        <w:rPr>
          <w:lang w:eastAsia="en-GB"/>
        </w:rPr>
      </w:pPr>
    </w:p>
    <w:p w:rsidR="009344D6" w:rsidRPr="00407DAD" w:rsidRDefault="009344D6" w:rsidP="009344D6">
      <w:pPr>
        <w:pStyle w:val="NoSpacing"/>
        <w:rPr>
          <w:lang w:eastAsia="en-GB"/>
        </w:rPr>
      </w:pPr>
      <w:r w:rsidRPr="00407DAD">
        <w:rPr>
          <w:lang w:eastAsia="en-GB"/>
        </w:rPr>
        <w:t xml:space="preserve">At </w:t>
      </w:r>
      <w:r>
        <w:rPr>
          <w:lang w:eastAsia="en-GB"/>
        </w:rPr>
        <w:t xml:space="preserve">Eastwood </w:t>
      </w:r>
      <w:r w:rsidRPr="00407DAD">
        <w:rPr>
          <w:lang w:eastAsia="en-GB"/>
        </w:rPr>
        <w:t>we believe that numeracy skills are absolutely fundamental for each of our pupils to be successful in their lives. Numeracy provides an ability to cope confidently with the mathematical demands of adult life, further education and employment. The development of numeracy skills is a basic entitlement for all pupils. All pupils should experience a rich numeracy learning environment, regardless of perceived ‘ability’.</w:t>
      </w:r>
    </w:p>
    <w:p w:rsidR="009344D6" w:rsidRPr="00407DAD" w:rsidRDefault="009344D6" w:rsidP="009344D6">
      <w:pPr>
        <w:pStyle w:val="NoSpacing"/>
        <w:rPr>
          <w:lang w:eastAsia="en-GB"/>
        </w:rPr>
      </w:pPr>
    </w:p>
    <w:p w:rsidR="009344D6" w:rsidRPr="00407DAD" w:rsidRDefault="009344D6" w:rsidP="009344D6">
      <w:pPr>
        <w:pStyle w:val="NoSpacing"/>
        <w:rPr>
          <w:lang w:eastAsia="en-GB"/>
        </w:rPr>
      </w:pPr>
      <w:r w:rsidRPr="00407DAD">
        <w:rPr>
          <w:lang w:eastAsia="en-GB"/>
        </w:rPr>
        <w:t>Numeracy involves the application of knowledge, skills and understanding essential for personal and social development, in this way the school supports the life-long learning of its pupils.</w:t>
      </w:r>
    </w:p>
    <w:p w:rsidR="009344D6" w:rsidRPr="00407DAD" w:rsidRDefault="009344D6" w:rsidP="009344D6">
      <w:pPr>
        <w:pStyle w:val="NoSpacing"/>
        <w:rPr>
          <w:lang w:eastAsia="en-GB"/>
        </w:rPr>
      </w:pPr>
    </w:p>
    <w:p w:rsidR="009344D6" w:rsidRPr="00407DAD" w:rsidRDefault="009344D6" w:rsidP="009344D6">
      <w:pPr>
        <w:pStyle w:val="NoSpacing"/>
        <w:rPr>
          <w:lang w:eastAsia="en-GB"/>
        </w:rPr>
      </w:pPr>
      <w:r w:rsidRPr="00407DAD">
        <w:rPr>
          <w:lang w:eastAsia="en-GB"/>
        </w:rPr>
        <w:t>Competent numeracy promotes self-confidence and therefore staff will endeavour to deliver their lessons in a manner that builds pupil belief both in them and to improve the application of numerical skills by all pupils across the whole range of appropriate subjects.</w:t>
      </w:r>
    </w:p>
    <w:p w:rsidR="009344D6" w:rsidRPr="00407DAD" w:rsidRDefault="009344D6" w:rsidP="009344D6">
      <w:pPr>
        <w:pStyle w:val="NoSpacing"/>
        <w:rPr>
          <w:b/>
          <w:bCs/>
          <w:lang w:eastAsia="en-GB"/>
        </w:rPr>
      </w:pPr>
    </w:p>
    <w:p w:rsidR="009344D6" w:rsidRPr="009344D6" w:rsidRDefault="009344D6" w:rsidP="009344D6">
      <w:pPr>
        <w:pStyle w:val="NoSpacing"/>
        <w:rPr>
          <w:lang w:eastAsia="en-GB"/>
        </w:rPr>
      </w:pPr>
      <w:r>
        <w:rPr>
          <w:lang w:eastAsia="en-GB"/>
        </w:rPr>
        <w:t>The point of n</w:t>
      </w:r>
      <w:r w:rsidRPr="00407DAD">
        <w:rPr>
          <w:lang w:eastAsia="en-GB"/>
        </w:rPr>
        <w:t>umeracy is to make sure that all pupils have the skills to confidently cope with the mathematical needs within the school curriculum and also in their future adult lives. The policy is here to reinforce each pupil’s understanding of mathematical methods, vocabulary and notation when they meet mathematics in other subjects. If there is not consistency between subjects then pupils can get easily confused due to conflicting methods. This can only have a negative effect on pup</w:t>
      </w:r>
      <w:r>
        <w:rPr>
          <w:lang w:eastAsia="en-GB"/>
        </w:rPr>
        <w:t>il performance across subjects.</w:t>
      </w:r>
    </w:p>
    <w:p w:rsidR="009344D6" w:rsidRDefault="009344D6" w:rsidP="009344D6">
      <w:pPr>
        <w:pStyle w:val="Heading1"/>
        <w:numPr>
          <w:ilvl w:val="0"/>
          <w:numId w:val="11"/>
        </w:numPr>
        <w:rPr>
          <w:rFonts w:ascii="Calibri" w:hAnsi="Calibri" w:cs="Calibri"/>
          <w:color w:val="auto"/>
          <w:lang w:eastAsia="en-GB"/>
        </w:rPr>
      </w:pPr>
      <w:bookmarkStart w:id="1" w:name="_Toc453666330"/>
      <w:r>
        <w:rPr>
          <w:rFonts w:ascii="Calibri" w:hAnsi="Calibri" w:cs="Calibri"/>
          <w:color w:val="auto"/>
          <w:lang w:eastAsia="en-GB"/>
        </w:rPr>
        <w:t>Definition</w:t>
      </w:r>
      <w:bookmarkEnd w:id="1"/>
    </w:p>
    <w:p w:rsidR="009344D6" w:rsidRPr="009344D6" w:rsidRDefault="009344D6" w:rsidP="009344D6">
      <w:pPr>
        <w:pStyle w:val="NoSpacing"/>
        <w:rPr>
          <w:lang w:eastAsia="en-GB"/>
        </w:rPr>
      </w:pPr>
    </w:p>
    <w:p w:rsidR="009344D6" w:rsidRDefault="009344D6" w:rsidP="009344D6">
      <w:pPr>
        <w:rPr>
          <w:rFonts w:ascii="Calibri" w:hAnsi="Calibri" w:cs="Calibri"/>
        </w:rPr>
      </w:pPr>
      <w:r w:rsidRPr="001F2C44">
        <w:rPr>
          <w:rFonts w:ascii="Calibri" w:hAnsi="Calibri" w:cs="Calibri"/>
        </w:rPr>
        <w:t xml:space="preserve">Numeracy, in very simple terms, is </w:t>
      </w:r>
      <w:r>
        <w:rPr>
          <w:rFonts w:ascii="Calibri" w:hAnsi="Calibri" w:cs="Calibri"/>
        </w:rPr>
        <w:t>‘</w:t>
      </w:r>
      <w:r w:rsidRPr="001F2C44">
        <w:rPr>
          <w:rFonts w:ascii="Calibri" w:hAnsi="Calibri" w:cs="Calibri"/>
        </w:rPr>
        <w:t>the ability to understand and work with numbers</w:t>
      </w:r>
      <w:r>
        <w:rPr>
          <w:rFonts w:ascii="Calibri" w:hAnsi="Calibri" w:cs="Calibri"/>
        </w:rPr>
        <w:t xml:space="preserve">’. </w:t>
      </w:r>
    </w:p>
    <w:p w:rsidR="009344D6" w:rsidRPr="009344D6" w:rsidRDefault="009344D6" w:rsidP="009344D6">
      <w:pPr>
        <w:rPr>
          <w:rFonts w:ascii="Calibri" w:hAnsi="Calibri" w:cs="Calibri"/>
        </w:rPr>
      </w:pPr>
      <w:r>
        <w:rPr>
          <w:rFonts w:ascii="Calibri" w:hAnsi="Calibri" w:cs="Calibri"/>
        </w:rPr>
        <w:t xml:space="preserve">To this end, pupils should: </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B</w:t>
      </w:r>
      <w:r w:rsidRPr="000F7478">
        <w:rPr>
          <w:rFonts w:ascii="Calibri" w:hAnsi="Calibri" w:cs="Calibri"/>
          <w:lang w:eastAsia="en-GB"/>
        </w:rPr>
        <w:t>e able to select the appropriate method for solving problems.</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B</w:t>
      </w:r>
      <w:r w:rsidRPr="000F7478">
        <w:rPr>
          <w:rFonts w:ascii="Calibri" w:hAnsi="Calibri" w:cs="Calibri"/>
          <w:lang w:eastAsia="en-GB"/>
        </w:rPr>
        <w:t>e able to recall number facts.</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U</w:t>
      </w:r>
      <w:r w:rsidRPr="000F7478">
        <w:rPr>
          <w:rFonts w:ascii="Calibri" w:hAnsi="Calibri" w:cs="Calibri"/>
          <w:lang w:eastAsia="en-GB"/>
        </w:rPr>
        <w:t>se methods they have been taught in Mathematics lessons.</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U</w:t>
      </w:r>
      <w:r w:rsidRPr="000F7478">
        <w:rPr>
          <w:rFonts w:ascii="Calibri" w:hAnsi="Calibri" w:cs="Calibri"/>
          <w:lang w:eastAsia="en-GB"/>
        </w:rPr>
        <w:t>se calculators efficiently and recognise when these are inappropriate tools.</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B</w:t>
      </w:r>
      <w:r w:rsidRPr="000F7478">
        <w:rPr>
          <w:rFonts w:ascii="Calibri" w:hAnsi="Calibri" w:cs="Calibri"/>
          <w:lang w:eastAsia="en-GB"/>
        </w:rPr>
        <w:t>e able to communicate effectively their chosen method and approach.</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B</w:t>
      </w:r>
      <w:r w:rsidRPr="000F7478">
        <w:rPr>
          <w:rFonts w:ascii="Calibri" w:hAnsi="Calibri" w:cs="Calibri"/>
          <w:lang w:eastAsia="en-GB"/>
        </w:rPr>
        <w:t>e able to estimate and judge the reasonableness of their solutions.</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B</w:t>
      </w:r>
      <w:r w:rsidRPr="000F7478">
        <w:rPr>
          <w:rFonts w:ascii="Calibri" w:hAnsi="Calibri" w:cs="Calibri"/>
          <w:lang w:eastAsia="en-GB"/>
        </w:rPr>
        <w:t>e able to present ideas and data in the form of charts, graphs and tables.</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B</w:t>
      </w:r>
      <w:r w:rsidRPr="000F7478">
        <w:rPr>
          <w:rFonts w:ascii="Calibri" w:hAnsi="Calibri" w:cs="Calibri"/>
          <w:lang w:eastAsia="en-GB"/>
        </w:rPr>
        <w:t>e able to interpret, describe and discuss their work and use this to support their conclusions and make appropriate predictions.</w:t>
      </w:r>
    </w:p>
    <w:p w:rsidR="009344D6" w:rsidRPr="000F7478"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B</w:t>
      </w:r>
      <w:r w:rsidRPr="000F7478">
        <w:rPr>
          <w:rFonts w:ascii="Calibri" w:hAnsi="Calibri" w:cs="Calibri"/>
          <w:lang w:eastAsia="en-GB"/>
        </w:rPr>
        <w:t>e able to use mathematical vocabulary correctly in both oral and written work to explain their strategies and methods.</w:t>
      </w:r>
    </w:p>
    <w:p w:rsidR="009344D6" w:rsidRPr="009344D6" w:rsidRDefault="009344D6" w:rsidP="00EA046C">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A</w:t>
      </w:r>
      <w:r w:rsidRPr="000F7478">
        <w:rPr>
          <w:rFonts w:ascii="Calibri" w:hAnsi="Calibri" w:cs="Calibri"/>
          <w:lang w:eastAsia="en-GB"/>
        </w:rPr>
        <w:t>dopt a systematic approach to problem solving.</w:t>
      </w:r>
    </w:p>
    <w:p w:rsidR="009344D6" w:rsidRPr="00E724D5" w:rsidRDefault="009344D6" w:rsidP="009344D6">
      <w:pPr>
        <w:pStyle w:val="Heading1"/>
        <w:rPr>
          <w:rFonts w:asciiTheme="minorHAnsi" w:hAnsiTheme="minorHAnsi" w:cstheme="minorHAnsi"/>
          <w:color w:val="auto"/>
        </w:rPr>
      </w:pPr>
      <w:bookmarkStart w:id="2" w:name="_Toc453592617"/>
      <w:bookmarkStart w:id="3" w:name="_Toc453666331"/>
      <w:r>
        <w:rPr>
          <w:rFonts w:asciiTheme="minorHAnsi" w:hAnsiTheme="minorHAnsi" w:cstheme="minorHAnsi"/>
          <w:color w:val="auto"/>
        </w:rPr>
        <w:t>3</w:t>
      </w:r>
      <w:r w:rsidRPr="00E724D5">
        <w:rPr>
          <w:rFonts w:asciiTheme="minorHAnsi" w:hAnsiTheme="minorHAnsi" w:cstheme="minorHAnsi"/>
          <w:color w:val="auto"/>
        </w:rPr>
        <w:t>.0 Policy Aims</w:t>
      </w:r>
      <w:bookmarkEnd w:id="2"/>
      <w:bookmarkEnd w:id="3"/>
    </w:p>
    <w:p w:rsidR="009344D6" w:rsidRDefault="009344D6" w:rsidP="009344D6">
      <w:pPr>
        <w:pStyle w:val="NoSpacing"/>
      </w:pP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t>Adopt a whole-school approach to numeracy across the curriculum.</w:t>
      </w: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Pr>
          <w:rFonts w:ascii="Calibri" w:hAnsi="Calibri" w:cs="Calibri"/>
          <w:lang w:eastAsia="en-GB"/>
        </w:rPr>
        <w:t>Ensure</w:t>
      </w:r>
      <w:r w:rsidRPr="00E6148D">
        <w:rPr>
          <w:rFonts w:ascii="Calibri" w:hAnsi="Calibri" w:cs="Calibri"/>
          <w:lang w:eastAsia="en-GB"/>
        </w:rPr>
        <w:t xml:space="preserve"> that a consistent approach to numeracy is adopted by all staff to keep pupil confusion to a minimum and avoid re-learning </w:t>
      </w:r>
      <w:r>
        <w:rPr>
          <w:rFonts w:ascii="Calibri" w:hAnsi="Calibri" w:cs="Calibri"/>
          <w:lang w:eastAsia="en-GB"/>
        </w:rPr>
        <w:t>or un-learning numeracy methods.</w:t>
      </w:r>
      <w:r w:rsidRPr="007324DF">
        <w:rPr>
          <w:rFonts w:ascii="Calibri" w:hAnsi="Calibri" w:cs="Calibri"/>
          <w:lang w:eastAsia="en-GB"/>
        </w:rPr>
        <w:t xml:space="preserve"> </w:t>
      </w: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t>Enable all pupils to attain at least minimum expected standards by age 16 in the key numeracy skills.</w:t>
      </w:r>
      <w:bookmarkStart w:id="4" w:name="_GoBack"/>
      <w:bookmarkEnd w:id="4"/>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lastRenderedPageBreak/>
        <w:t>Support the development of numeracy skills throughout the curriculum</w:t>
      </w: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t>Raise staff awareness of key numeracy strategies through INSET, meetings, weekly literacy tips and the dissemination of good classroom practice.</w:t>
      </w: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t>Encourage staff to take responsibility for the development of numeracy in their subject areas through the inclusion of appropriate schemes of work and lesson planning.</w:t>
      </w: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t>Support the development of numeracy through the deployment of a range of resources in the school e.g. Library, ICT suites etc.</w:t>
      </w: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t>Identify specific roles and responsibilities within the Academy with regard to the development of numeracy work.</w:t>
      </w:r>
    </w:p>
    <w:p w:rsidR="009344D6" w:rsidRPr="007324DF" w:rsidRDefault="009344D6" w:rsidP="007324DF">
      <w:pPr>
        <w:numPr>
          <w:ilvl w:val="0"/>
          <w:numId w:val="12"/>
        </w:numPr>
        <w:autoSpaceDE w:val="0"/>
        <w:autoSpaceDN w:val="0"/>
        <w:adjustRightInd w:val="0"/>
        <w:spacing w:after="0" w:line="240" w:lineRule="auto"/>
        <w:rPr>
          <w:rFonts w:ascii="Calibri" w:hAnsi="Calibri" w:cs="Calibri"/>
          <w:lang w:eastAsia="en-GB"/>
        </w:rPr>
      </w:pPr>
      <w:r w:rsidRPr="007324DF">
        <w:rPr>
          <w:rFonts w:ascii="Calibri" w:hAnsi="Calibri" w:cs="Calibri"/>
          <w:lang w:eastAsia="en-GB"/>
        </w:rPr>
        <w:t>Establish procedures for monitoring numeracy across the curriculum.</w:t>
      </w:r>
    </w:p>
    <w:p w:rsidR="009344D6" w:rsidRPr="00E724D5" w:rsidRDefault="009344D6" w:rsidP="009344D6">
      <w:pPr>
        <w:pStyle w:val="Heading1"/>
        <w:rPr>
          <w:rFonts w:ascii="Arial" w:hAnsi="Arial" w:cs="Arial"/>
          <w:b w:val="0"/>
          <w:bCs w:val="0"/>
          <w:color w:val="auto"/>
          <w:sz w:val="19"/>
          <w:szCs w:val="19"/>
        </w:rPr>
      </w:pPr>
      <w:bookmarkStart w:id="5" w:name="_Toc453666332"/>
      <w:r>
        <w:rPr>
          <w:rFonts w:asciiTheme="minorHAnsi" w:hAnsiTheme="minorHAnsi" w:cstheme="minorHAnsi"/>
          <w:color w:val="auto"/>
        </w:rPr>
        <w:t>4</w:t>
      </w:r>
      <w:r w:rsidRPr="00E724D5">
        <w:rPr>
          <w:rFonts w:asciiTheme="minorHAnsi" w:hAnsiTheme="minorHAnsi" w:cstheme="minorHAnsi"/>
          <w:color w:val="auto"/>
        </w:rPr>
        <w:t xml:space="preserve">.0 </w:t>
      </w:r>
      <w:r>
        <w:rPr>
          <w:rFonts w:asciiTheme="minorHAnsi" w:hAnsiTheme="minorHAnsi" w:cstheme="minorHAnsi"/>
          <w:color w:val="auto"/>
        </w:rPr>
        <w:t>Curriculum Mapping of Numeracy</w:t>
      </w:r>
      <w:bookmarkEnd w:id="5"/>
    </w:p>
    <w:p w:rsidR="009344D6" w:rsidRDefault="009344D6" w:rsidP="009344D6">
      <w:pPr>
        <w:pStyle w:val="NoSpacing"/>
      </w:pPr>
    </w:p>
    <w:p w:rsidR="009344D6" w:rsidRDefault="009344D6" w:rsidP="009344D6">
      <w:pPr>
        <w:rPr>
          <w:rFonts w:cstheme="minorHAnsi"/>
        </w:rPr>
      </w:pPr>
      <w:r>
        <w:rPr>
          <w:rFonts w:cstheme="minorHAnsi"/>
        </w:rPr>
        <w:t xml:space="preserve">The following codes are used in schemes of work to map numeracy-based skills.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8358"/>
      </w:tblGrid>
      <w:tr w:rsidR="001D7BBF" w:rsidRPr="001F2C44" w:rsidTr="00631642">
        <w:trPr>
          <w:jc w:val="center"/>
        </w:trPr>
        <w:tc>
          <w:tcPr>
            <w:tcW w:w="9606" w:type="dxa"/>
            <w:gridSpan w:val="2"/>
            <w:tcBorders>
              <w:bottom w:val="single" w:sz="4" w:space="0" w:color="auto"/>
            </w:tcBorders>
            <w:shd w:val="pct10" w:color="auto" w:fill="auto"/>
          </w:tcPr>
          <w:p w:rsidR="001D7BBF" w:rsidRPr="001D7BBF" w:rsidRDefault="001D7BBF" w:rsidP="001D7BBF">
            <w:pPr>
              <w:pStyle w:val="NoSpacing"/>
              <w:jc w:val="center"/>
              <w:rPr>
                <w:b/>
                <w:lang w:val="en-US"/>
              </w:rPr>
            </w:pPr>
            <w:r w:rsidRPr="001D7BBF">
              <w:rPr>
                <w:b/>
                <w:lang w:val="en-US"/>
              </w:rPr>
              <w:t>Code</w:t>
            </w:r>
          </w:p>
        </w:tc>
      </w:tr>
      <w:tr w:rsidR="001D7BBF" w:rsidRPr="001F2C44" w:rsidTr="00631642">
        <w:trPr>
          <w:jc w:val="center"/>
        </w:trPr>
        <w:tc>
          <w:tcPr>
            <w:tcW w:w="660" w:type="dxa"/>
            <w:shd w:val="pct5" w:color="auto" w:fill="auto"/>
          </w:tcPr>
          <w:p w:rsidR="001D7BBF" w:rsidRPr="001F2C44" w:rsidRDefault="001D7BBF" w:rsidP="001D7BBF">
            <w:pPr>
              <w:pStyle w:val="NoSpacing"/>
            </w:pPr>
          </w:p>
        </w:tc>
        <w:tc>
          <w:tcPr>
            <w:tcW w:w="8946" w:type="dxa"/>
            <w:tcBorders>
              <w:right w:val="single" w:sz="4" w:space="0" w:color="auto"/>
            </w:tcBorders>
            <w:shd w:val="pct5" w:color="auto" w:fill="auto"/>
          </w:tcPr>
          <w:p w:rsidR="001D7BBF" w:rsidRPr="001D7BBF" w:rsidRDefault="001D7BBF" w:rsidP="001D7BBF">
            <w:pPr>
              <w:pStyle w:val="NoSpacing"/>
              <w:jc w:val="center"/>
              <w:rPr>
                <w:b/>
                <w:lang w:val="en-US"/>
              </w:rPr>
            </w:pPr>
            <w:r w:rsidRPr="001D7BBF">
              <w:rPr>
                <w:rFonts w:cs="Calibri"/>
                <w:b/>
                <w:lang w:val="en-US"/>
              </w:rPr>
              <w:t>Number and Algebra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w:t>
            </w:r>
          </w:p>
        </w:tc>
        <w:tc>
          <w:tcPr>
            <w:tcW w:w="8946" w:type="dxa"/>
            <w:tcBorders>
              <w:right w:val="single" w:sz="4" w:space="0" w:color="auto"/>
            </w:tcBorders>
            <w:shd w:val="clear" w:color="auto" w:fill="auto"/>
          </w:tcPr>
          <w:p w:rsidR="001D7BBF" w:rsidRPr="001F2C44" w:rsidRDefault="001D7BBF" w:rsidP="001D7BBF">
            <w:pPr>
              <w:pStyle w:val="NoSpacing"/>
              <w:rPr>
                <w:rFonts w:cs="Calibri"/>
                <w:lang w:val="en-US"/>
              </w:rPr>
            </w:pPr>
            <w:r w:rsidRPr="001F2C44">
              <w:rPr>
                <w:rFonts w:cs="Calibri"/>
                <w:lang w:val="en-US"/>
              </w:rPr>
              <w:t>Understand place value and order numbers up to 100</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Know when to add or subtract when solving problems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w:t>
            </w:r>
          </w:p>
        </w:tc>
        <w:tc>
          <w:tcPr>
            <w:tcW w:w="8946" w:type="dxa"/>
            <w:shd w:val="clear" w:color="auto" w:fill="auto"/>
          </w:tcPr>
          <w:p w:rsidR="001D7BBF" w:rsidRPr="001F2C44" w:rsidRDefault="001D7BBF" w:rsidP="001D7BBF">
            <w:pPr>
              <w:pStyle w:val="NoSpacing"/>
              <w:rPr>
                <w:rFonts w:cs="Calibri"/>
                <w:lang w:val="en-US"/>
              </w:rPr>
            </w:pPr>
            <w:proofErr w:type="spellStart"/>
            <w:r w:rsidRPr="001F2C44">
              <w:rPr>
                <w:rFonts w:cs="Calibri"/>
                <w:lang w:val="en-US"/>
              </w:rPr>
              <w:t>Recognise</w:t>
            </w:r>
            <w:proofErr w:type="spellEnd"/>
            <w:r w:rsidRPr="001F2C44">
              <w:rPr>
                <w:rFonts w:cs="Calibri"/>
                <w:lang w:val="en-US"/>
              </w:rPr>
              <w:t xml:space="preserve"> odd and even number</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Read and write numbers in figures and words, up to a million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Round numbers to the nearest 10, 100 or 1000</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N6</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 xml:space="preserve">Use </w:t>
            </w:r>
            <w:r w:rsidRPr="001F2C44">
              <w:rPr>
                <w:rFonts w:eastAsia="Arial Unicode MS" w:cs="Calibri"/>
                <w:lang w:val="en-US"/>
              </w:rPr>
              <w:t>&lt;, &gt;, &lt;, &gt; and = symbols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N7</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Mental addition and subtraction of 2 digit numbers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N8</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Written addition and subtraction of three digit numbers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N9</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Multiplication tables – 2, 3, 4, 5 and 10 and associated division facts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N10</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 xml:space="preserve">Use simple fractions and </w:t>
            </w:r>
            <w:proofErr w:type="spellStart"/>
            <w:r w:rsidRPr="001F2C44">
              <w:rPr>
                <w:rFonts w:cs="Calibri"/>
                <w:lang w:val="en-US"/>
              </w:rPr>
              <w:t>recognise</w:t>
            </w:r>
            <w:proofErr w:type="spellEnd"/>
            <w:r w:rsidRPr="001F2C44">
              <w:rPr>
                <w:rFonts w:cs="Calibri"/>
                <w:lang w:val="en-US"/>
              </w:rPr>
              <w:t xml:space="preserve"> when two simple fractions are equivalent</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N11</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decimal notation – money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N12</w:t>
            </w:r>
          </w:p>
        </w:tc>
        <w:tc>
          <w:tcPr>
            <w:tcW w:w="8946" w:type="dxa"/>
            <w:shd w:val="clear" w:color="auto" w:fill="auto"/>
          </w:tcPr>
          <w:p w:rsidR="001D7BBF" w:rsidRPr="001F2C44" w:rsidRDefault="001D7BBF" w:rsidP="001D7BBF">
            <w:pPr>
              <w:pStyle w:val="NoSpacing"/>
              <w:rPr>
                <w:rFonts w:cs="Calibri"/>
                <w:lang w:val="en-US"/>
              </w:rPr>
            </w:pPr>
            <w:proofErr w:type="spellStart"/>
            <w:r w:rsidRPr="001F2C44">
              <w:rPr>
                <w:rFonts w:cs="Calibri"/>
                <w:lang w:val="en-US"/>
              </w:rPr>
              <w:t>Recognise</w:t>
            </w:r>
            <w:proofErr w:type="spellEnd"/>
            <w:r w:rsidRPr="001F2C44">
              <w:rPr>
                <w:rFonts w:cs="Calibri"/>
                <w:lang w:val="en-US"/>
              </w:rPr>
              <w:t xml:space="preserve"> and use negative numbers in context</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N13</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Multiplication tables up to 10 X 10 and associated division facts</w:t>
            </w:r>
          </w:p>
        </w:tc>
      </w:tr>
      <w:tr w:rsidR="001D7BBF" w:rsidRPr="00840526" w:rsidTr="001D7BBF">
        <w:trPr>
          <w:jc w:val="center"/>
        </w:trPr>
        <w:tc>
          <w:tcPr>
            <w:tcW w:w="660" w:type="dxa"/>
            <w:tcBorders>
              <w:bottom w:val="single" w:sz="4" w:space="0" w:color="auto"/>
            </w:tcBorders>
            <w:shd w:val="clear" w:color="auto" w:fill="auto"/>
            <w:vAlign w:val="center"/>
          </w:tcPr>
          <w:p w:rsidR="001D7BBF" w:rsidRPr="001D7BBF" w:rsidRDefault="001D7BBF" w:rsidP="001D7BBF">
            <w:pPr>
              <w:pStyle w:val="NoSpacing"/>
              <w:jc w:val="center"/>
              <w:rPr>
                <w:b/>
              </w:rPr>
            </w:pPr>
            <w:r w:rsidRPr="001D7BBF">
              <w:rPr>
                <w:b/>
              </w:rPr>
              <w:t>N14</w:t>
            </w:r>
          </w:p>
        </w:tc>
        <w:tc>
          <w:tcPr>
            <w:tcW w:w="8946" w:type="dxa"/>
            <w:tcBorders>
              <w:bottom w:val="single" w:sz="4" w:space="0" w:color="auto"/>
            </w:tcBorders>
            <w:shd w:val="clear" w:color="auto" w:fill="auto"/>
          </w:tcPr>
          <w:p w:rsidR="001D7BBF" w:rsidRPr="001F2C44" w:rsidRDefault="001D7BBF" w:rsidP="001D7BBF">
            <w:pPr>
              <w:pStyle w:val="NoSpacing"/>
              <w:rPr>
                <w:rFonts w:cs="Calibri"/>
                <w:lang w:val="en-US"/>
              </w:rPr>
            </w:pPr>
            <w:r w:rsidRPr="001F2C44">
              <w:rPr>
                <w:rFonts w:cs="Calibri"/>
                <w:lang w:val="en-US"/>
              </w:rPr>
              <w:t>Multiply and divide whole numbers by 10 and 100</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N15</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Written addition and subtraction of whole numbers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N16</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Short multiplication and division of whole numbers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N17</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Add and subtract decimals to two decimal places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N18</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Order decimals to three decimal places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N19</w:t>
            </w:r>
          </w:p>
        </w:tc>
        <w:tc>
          <w:tcPr>
            <w:tcW w:w="8946" w:type="dxa"/>
            <w:shd w:val="clear" w:color="auto" w:fill="auto"/>
          </w:tcPr>
          <w:p w:rsidR="001D7BBF" w:rsidRPr="001F2C44" w:rsidRDefault="001D7BBF" w:rsidP="001D7BBF">
            <w:pPr>
              <w:pStyle w:val="NoSpacing"/>
              <w:rPr>
                <w:rFonts w:cs="Calibri"/>
                <w:lang w:val="en-US"/>
              </w:rPr>
            </w:pPr>
            <w:proofErr w:type="spellStart"/>
            <w:r w:rsidRPr="001F2C44">
              <w:rPr>
                <w:rFonts w:cs="Calibri"/>
                <w:lang w:val="en-US"/>
              </w:rPr>
              <w:t>Recognise</w:t>
            </w:r>
            <w:proofErr w:type="spellEnd"/>
            <w:r w:rsidRPr="001F2C44">
              <w:rPr>
                <w:rFonts w:cs="Calibri"/>
                <w:lang w:val="en-US"/>
              </w:rPr>
              <w:t xml:space="preserve"> and use simple percentages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N20</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simple formulae expressed in words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N21</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co-ordinates in the first quadrant</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N22</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Multi[ply and divide decimals by 10, 100, 1000</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M23</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Order, add and subtract negative numbers in context</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N24</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 -, X, ÷ with up to 2 decimal places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N25</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Calculate fractions of quantities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N26</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simple ratio and proportion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N27</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Long multiplication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N28</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Long division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N29</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Check answers using inverse operations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N30</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Estimate and check answers using approximations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N31</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Construct simple formulae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N32</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co-ordinates in four quadrants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lastRenderedPageBreak/>
              <w:t>N33</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Calculate a number as a fraction of another</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N34</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Calculate a number as a percentage of another</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N35</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Understand and use fraction, decimal and percentage equivalence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N36</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Add and subtract fractions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N37</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Calculate using ratios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N38</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Solve linear equations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N39</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co-ordinates for geographical representation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N40</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Calculate percentages of quantities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N41</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simple formulae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N42</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significant figures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N43</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Multiply and divide fractions and decimals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N44</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a calculator efficiently and appropriately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N45</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proportional change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N46</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Solve simultaneous linear equations graphically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N47</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Solve simultaneous linear equations algebraically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N48</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Solve simple inequalities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N49</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Calculate power and roots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N50</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standard form</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N51</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formulae involving fractions, decimals or negative numbers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N52</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Calculate the original quantity given the result of proportional change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N53</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Solve problems involving repeated proportional change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N54</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Interpret graphs modelling real life situations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N55</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Draw graphs modelling real life situations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N56</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Transform formulae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N57</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Solve inequalities in two variables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N58</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Determine the bounds of intervals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N59</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Find formulae that approximately connect data and express general laws in symbolic form</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N60</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direct proportion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N61</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indirect proportion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N62</w:t>
            </w:r>
          </w:p>
        </w:tc>
        <w:tc>
          <w:tcPr>
            <w:tcW w:w="8946" w:type="dxa"/>
            <w:shd w:val="clear" w:color="auto" w:fill="auto"/>
          </w:tcPr>
          <w:p w:rsidR="001D7BBF" w:rsidRPr="001F2C44" w:rsidRDefault="001D7BBF" w:rsidP="001D7BBF">
            <w:pPr>
              <w:pStyle w:val="NoSpacing"/>
              <w:rPr>
                <w:rFonts w:cs="Calibri"/>
                <w:lang w:val="en-US"/>
              </w:rPr>
            </w:pPr>
            <w:r w:rsidRPr="001F2C44">
              <w:rPr>
                <w:rFonts w:cs="Calibri"/>
                <w:lang w:val="en-US"/>
              </w:rPr>
              <w:t>Use the rules of indices</w:t>
            </w:r>
          </w:p>
        </w:tc>
      </w:tr>
      <w:tr w:rsidR="001D7BBF" w:rsidRPr="00840526" w:rsidTr="001D7BBF">
        <w:trPr>
          <w:jc w:val="center"/>
        </w:trPr>
        <w:tc>
          <w:tcPr>
            <w:tcW w:w="660" w:type="dxa"/>
            <w:tcBorders>
              <w:bottom w:val="single" w:sz="4" w:space="0" w:color="auto"/>
            </w:tcBorders>
            <w:shd w:val="clear" w:color="auto" w:fill="auto"/>
            <w:vAlign w:val="center"/>
          </w:tcPr>
          <w:p w:rsidR="001D7BBF" w:rsidRPr="001D7BBF" w:rsidRDefault="001D7BBF" w:rsidP="001D7BBF">
            <w:pPr>
              <w:pStyle w:val="NoSpacing"/>
              <w:jc w:val="center"/>
              <w:rPr>
                <w:b/>
              </w:rPr>
            </w:pPr>
            <w:r w:rsidRPr="001D7BBF">
              <w:rPr>
                <w:b/>
              </w:rPr>
              <w:t>N63</w:t>
            </w:r>
          </w:p>
        </w:tc>
        <w:tc>
          <w:tcPr>
            <w:tcW w:w="8946" w:type="dxa"/>
            <w:tcBorders>
              <w:bottom w:val="single" w:sz="4" w:space="0" w:color="auto"/>
            </w:tcBorders>
            <w:shd w:val="clear" w:color="auto" w:fill="auto"/>
          </w:tcPr>
          <w:p w:rsidR="001D7BBF" w:rsidRPr="001F2C44" w:rsidRDefault="001D7BBF" w:rsidP="001D7BBF">
            <w:pPr>
              <w:pStyle w:val="NoSpacing"/>
              <w:rPr>
                <w:rFonts w:cs="Calibri"/>
                <w:lang w:val="en-US"/>
              </w:rPr>
            </w:pPr>
            <w:r w:rsidRPr="001F2C44">
              <w:rPr>
                <w:rFonts w:cs="Calibri"/>
                <w:lang w:val="en-US"/>
              </w:rPr>
              <w:t>Solve problems using intersections or gradients of graphs</w:t>
            </w:r>
          </w:p>
        </w:tc>
      </w:tr>
      <w:tr w:rsidR="001D7BBF" w:rsidRPr="00840526" w:rsidTr="00631642">
        <w:trPr>
          <w:jc w:val="center"/>
        </w:trPr>
        <w:tc>
          <w:tcPr>
            <w:tcW w:w="660" w:type="dxa"/>
            <w:shd w:val="pct5" w:color="auto" w:fill="auto"/>
          </w:tcPr>
          <w:p w:rsidR="001D7BBF" w:rsidRPr="001F2C44" w:rsidRDefault="001D7BBF" w:rsidP="001D7BBF">
            <w:pPr>
              <w:pStyle w:val="NoSpacing"/>
            </w:pPr>
          </w:p>
        </w:tc>
        <w:tc>
          <w:tcPr>
            <w:tcW w:w="8946" w:type="dxa"/>
            <w:shd w:val="pct5" w:color="auto" w:fill="auto"/>
          </w:tcPr>
          <w:p w:rsidR="001D7BBF" w:rsidRPr="001D7BBF" w:rsidRDefault="001D7BBF" w:rsidP="001D7BBF">
            <w:pPr>
              <w:pStyle w:val="NoSpacing"/>
              <w:jc w:val="center"/>
              <w:rPr>
                <w:b/>
                <w:lang w:val="en-US"/>
              </w:rPr>
            </w:pPr>
            <w:r w:rsidRPr="001D7BBF">
              <w:rPr>
                <w:b/>
                <w:lang w:val="en-US"/>
              </w:rPr>
              <w:t>Shape, Space and Measure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w:t>
            </w:r>
          </w:p>
        </w:tc>
        <w:tc>
          <w:tcPr>
            <w:tcW w:w="8946" w:type="dxa"/>
            <w:shd w:val="clear" w:color="auto" w:fill="auto"/>
          </w:tcPr>
          <w:p w:rsidR="001D7BBF" w:rsidRPr="001F2C44" w:rsidRDefault="001D7BBF" w:rsidP="001D7BBF">
            <w:pPr>
              <w:pStyle w:val="NoSpacing"/>
              <w:rPr>
                <w:rFonts w:cs="Calibri"/>
              </w:rPr>
            </w:pPr>
            <w:r w:rsidRPr="001F2C44">
              <w:rPr>
                <w:rFonts w:cs="Calibri"/>
              </w:rPr>
              <w:t>Mathematical names for 2-D and 3-D shapes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angle as a measure of turn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w:t>
            </w:r>
          </w:p>
        </w:tc>
        <w:tc>
          <w:tcPr>
            <w:tcW w:w="8946" w:type="dxa"/>
            <w:shd w:val="clear" w:color="auto" w:fill="auto"/>
          </w:tcPr>
          <w:p w:rsidR="001D7BBF" w:rsidRPr="001F2C44" w:rsidRDefault="001D7BBF" w:rsidP="001D7BBF">
            <w:pPr>
              <w:pStyle w:val="NoSpacing"/>
              <w:rPr>
                <w:rFonts w:cs="Calibri"/>
              </w:rPr>
            </w:pPr>
            <w:r w:rsidRPr="001F2C44">
              <w:rPr>
                <w:rFonts w:cs="Calibri"/>
              </w:rPr>
              <w:t>Recognise right angles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reflective symmetry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S5</w:t>
            </w:r>
          </w:p>
        </w:tc>
        <w:tc>
          <w:tcPr>
            <w:tcW w:w="8946" w:type="dxa"/>
            <w:shd w:val="clear" w:color="auto" w:fill="auto"/>
          </w:tcPr>
          <w:p w:rsidR="001D7BBF" w:rsidRPr="001F2C44" w:rsidRDefault="001D7BBF" w:rsidP="001D7BBF">
            <w:pPr>
              <w:pStyle w:val="NoSpacing"/>
              <w:rPr>
                <w:rFonts w:cs="Calibri"/>
              </w:rPr>
            </w:pPr>
            <w:r w:rsidRPr="001F2C44">
              <w:rPr>
                <w:rFonts w:cs="Calibri"/>
              </w:rPr>
              <w:t>Use metric units of length, capacity, mass and time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S6</w:t>
            </w:r>
          </w:p>
        </w:tc>
        <w:tc>
          <w:tcPr>
            <w:tcW w:w="8946" w:type="dxa"/>
            <w:shd w:val="clear" w:color="auto" w:fill="auto"/>
          </w:tcPr>
          <w:p w:rsidR="001D7BBF" w:rsidRPr="001F2C44" w:rsidRDefault="001D7BBF" w:rsidP="001D7BBF">
            <w:pPr>
              <w:pStyle w:val="NoSpacing"/>
              <w:rPr>
                <w:rFonts w:cs="Calibri"/>
              </w:rPr>
            </w:pPr>
            <w:r w:rsidRPr="001F2C44">
              <w:rPr>
                <w:rFonts w:cs="Calibri"/>
              </w:rPr>
              <w:t>Solve problems involving time or timetables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S7</w:t>
            </w:r>
          </w:p>
        </w:tc>
        <w:tc>
          <w:tcPr>
            <w:tcW w:w="8946" w:type="dxa"/>
            <w:shd w:val="clear" w:color="auto" w:fill="auto"/>
          </w:tcPr>
          <w:p w:rsidR="001D7BBF" w:rsidRPr="001F2C44" w:rsidRDefault="001D7BBF" w:rsidP="001D7BBF">
            <w:pPr>
              <w:pStyle w:val="NoSpacing"/>
              <w:rPr>
                <w:rFonts w:cs="Calibri"/>
              </w:rPr>
            </w:pPr>
            <w:r w:rsidRPr="001F2C44">
              <w:rPr>
                <w:rFonts w:cs="Calibri"/>
              </w:rPr>
              <w:t>Make simple 3-D models from nets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S8</w:t>
            </w:r>
          </w:p>
        </w:tc>
        <w:tc>
          <w:tcPr>
            <w:tcW w:w="8946" w:type="dxa"/>
            <w:shd w:val="clear" w:color="auto" w:fill="auto"/>
          </w:tcPr>
          <w:p w:rsidR="001D7BBF" w:rsidRPr="001F2C44" w:rsidRDefault="001D7BBF" w:rsidP="001D7BBF">
            <w:pPr>
              <w:pStyle w:val="NoSpacing"/>
              <w:rPr>
                <w:rFonts w:cs="Calibri"/>
              </w:rPr>
            </w:pPr>
            <w:r w:rsidRPr="001F2C44">
              <w:rPr>
                <w:rFonts w:cs="Calibri"/>
              </w:rPr>
              <w:t>Draw 2-D shapes in different orientations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S9</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rotational symmetry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S10</w:t>
            </w:r>
          </w:p>
        </w:tc>
        <w:tc>
          <w:tcPr>
            <w:tcW w:w="8946" w:type="dxa"/>
            <w:shd w:val="clear" w:color="auto" w:fill="auto"/>
          </w:tcPr>
          <w:p w:rsidR="001D7BBF" w:rsidRPr="001F2C44" w:rsidRDefault="001D7BBF" w:rsidP="001D7BBF">
            <w:pPr>
              <w:pStyle w:val="NoSpacing"/>
              <w:rPr>
                <w:rFonts w:cs="Calibri"/>
              </w:rPr>
            </w:pPr>
            <w:r w:rsidRPr="001F2C44">
              <w:rPr>
                <w:rFonts w:cs="Calibri"/>
              </w:rPr>
              <w:t>Reflect simple shapes in a mirror line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S11</w:t>
            </w:r>
          </w:p>
        </w:tc>
        <w:tc>
          <w:tcPr>
            <w:tcW w:w="8946" w:type="dxa"/>
            <w:shd w:val="clear" w:color="auto" w:fill="auto"/>
          </w:tcPr>
          <w:p w:rsidR="001D7BBF" w:rsidRPr="001F2C44" w:rsidRDefault="001D7BBF" w:rsidP="001D7BBF">
            <w:pPr>
              <w:pStyle w:val="NoSpacing"/>
              <w:rPr>
                <w:rFonts w:cs="Calibri"/>
              </w:rPr>
            </w:pPr>
            <w:r w:rsidRPr="001F2C44">
              <w:rPr>
                <w:rFonts w:cs="Calibri"/>
              </w:rPr>
              <w:t>Measure and read scales using appropriate units and accuracy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S12</w:t>
            </w:r>
          </w:p>
        </w:tc>
        <w:tc>
          <w:tcPr>
            <w:tcW w:w="8946" w:type="dxa"/>
            <w:shd w:val="clear" w:color="auto" w:fill="auto"/>
          </w:tcPr>
          <w:p w:rsidR="001D7BBF" w:rsidRPr="001F2C44" w:rsidRDefault="001D7BBF" w:rsidP="001D7BBF">
            <w:pPr>
              <w:pStyle w:val="NoSpacing"/>
              <w:rPr>
                <w:rFonts w:cs="Calibri"/>
              </w:rPr>
            </w:pPr>
            <w:r w:rsidRPr="001F2C44">
              <w:rPr>
                <w:rFonts w:cs="Calibri"/>
              </w:rPr>
              <w:t>Find perimeters of simple shapes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S13</w:t>
            </w:r>
          </w:p>
        </w:tc>
        <w:tc>
          <w:tcPr>
            <w:tcW w:w="8946" w:type="dxa"/>
            <w:shd w:val="clear" w:color="auto" w:fill="auto"/>
          </w:tcPr>
          <w:p w:rsidR="001D7BBF" w:rsidRPr="001F2C44" w:rsidRDefault="001D7BBF" w:rsidP="001D7BBF">
            <w:pPr>
              <w:pStyle w:val="NoSpacing"/>
              <w:rPr>
                <w:rFonts w:cs="Calibri"/>
              </w:rPr>
            </w:pPr>
            <w:r w:rsidRPr="001F2C44">
              <w:rPr>
                <w:rFonts w:cs="Calibri"/>
              </w:rPr>
              <w:t>Find areas by counting squares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S14</w:t>
            </w:r>
          </w:p>
        </w:tc>
        <w:tc>
          <w:tcPr>
            <w:tcW w:w="8946" w:type="dxa"/>
            <w:shd w:val="clear" w:color="auto" w:fill="auto"/>
          </w:tcPr>
          <w:p w:rsidR="001D7BBF" w:rsidRPr="001F2C44" w:rsidRDefault="001D7BBF" w:rsidP="001D7BBF">
            <w:pPr>
              <w:pStyle w:val="NoSpacing"/>
              <w:rPr>
                <w:rFonts w:cs="Calibri"/>
              </w:rPr>
            </w:pPr>
            <w:r w:rsidRPr="001F2C44">
              <w:rPr>
                <w:rFonts w:cs="Calibri"/>
              </w:rPr>
              <w:t>Measure and draw angles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S15</w:t>
            </w:r>
          </w:p>
        </w:tc>
        <w:tc>
          <w:tcPr>
            <w:tcW w:w="8946" w:type="dxa"/>
            <w:shd w:val="clear" w:color="auto" w:fill="auto"/>
          </w:tcPr>
          <w:p w:rsidR="001D7BBF" w:rsidRPr="001F2C44" w:rsidRDefault="001D7BBF" w:rsidP="001D7BBF">
            <w:pPr>
              <w:pStyle w:val="NoSpacing"/>
              <w:rPr>
                <w:rFonts w:cs="Calibri"/>
              </w:rPr>
            </w:pPr>
            <w:r w:rsidRPr="001F2C44">
              <w:rPr>
                <w:rFonts w:cs="Calibri"/>
              </w:rPr>
              <w:t>Know the angle sum of a triangle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S16</w:t>
            </w:r>
          </w:p>
        </w:tc>
        <w:tc>
          <w:tcPr>
            <w:tcW w:w="8946" w:type="dxa"/>
            <w:shd w:val="clear" w:color="auto" w:fill="auto"/>
          </w:tcPr>
          <w:p w:rsidR="001D7BBF" w:rsidRPr="001F2C44" w:rsidRDefault="001D7BBF" w:rsidP="001D7BBF">
            <w:pPr>
              <w:pStyle w:val="NoSpacing"/>
              <w:rPr>
                <w:rFonts w:cs="Calibri"/>
              </w:rPr>
            </w:pPr>
            <w:r w:rsidRPr="001F2C44">
              <w:rPr>
                <w:rFonts w:cs="Calibri"/>
              </w:rPr>
              <w:t>Know the sum of angles at a point</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S17</w:t>
            </w:r>
          </w:p>
        </w:tc>
        <w:tc>
          <w:tcPr>
            <w:tcW w:w="8946" w:type="dxa"/>
            <w:shd w:val="clear" w:color="auto" w:fill="auto"/>
          </w:tcPr>
          <w:p w:rsidR="001D7BBF" w:rsidRPr="001F2C44" w:rsidRDefault="001D7BBF" w:rsidP="001D7BBF">
            <w:pPr>
              <w:pStyle w:val="NoSpacing"/>
              <w:rPr>
                <w:rFonts w:cs="Calibri"/>
              </w:rPr>
            </w:pPr>
            <w:r w:rsidRPr="001F2C44">
              <w:rPr>
                <w:rFonts w:cs="Calibri"/>
              </w:rPr>
              <w:t>Identify all the symmetries of 2-D shapes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S18</w:t>
            </w:r>
          </w:p>
        </w:tc>
        <w:tc>
          <w:tcPr>
            <w:tcW w:w="8946" w:type="dxa"/>
            <w:shd w:val="clear" w:color="auto" w:fill="auto"/>
          </w:tcPr>
          <w:p w:rsidR="001D7BBF" w:rsidRPr="001F2C44" w:rsidRDefault="001D7BBF" w:rsidP="001D7BBF">
            <w:pPr>
              <w:pStyle w:val="NoSpacing"/>
              <w:rPr>
                <w:rFonts w:cs="Calibri"/>
              </w:rPr>
            </w:pPr>
            <w:r w:rsidRPr="001F2C44">
              <w:rPr>
                <w:rFonts w:cs="Calibri"/>
              </w:rPr>
              <w:t>Convert one metric unit to another</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lastRenderedPageBreak/>
              <w:t>S19</w:t>
            </w:r>
          </w:p>
        </w:tc>
        <w:tc>
          <w:tcPr>
            <w:tcW w:w="8946" w:type="dxa"/>
            <w:shd w:val="clear" w:color="auto" w:fill="auto"/>
          </w:tcPr>
          <w:p w:rsidR="001D7BBF" w:rsidRPr="001F2C44" w:rsidRDefault="001D7BBF" w:rsidP="001D7BBF">
            <w:pPr>
              <w:pStyle w:val="NoSpacing"/>
              <w:rPr>
                <w:rFonts w:cs="Calibri"/>
              </w:rPr>
            </w:pPr>
            <w:r w:rsidRPr="001F2C44">
              <w:rPr>
                <w:rFonts w:cs="Calibri"/>
              </w:rPr>
              <w:t>Know rough metric/imperial equivalence of common units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S20</w:t>
            </w:r>
          </w:p>
        </w:tc>
        <w:tc>
          <w:tcPr>
            <w:tcW w:w="8946" w:type="dxa"/>
            <w:shd w:val="clear" w:color="auto" w:fill="auto"/>
          </w:tcPr>
          <w:p w:rsidR="001D7BBF" w:rsidRPr="001F2C44" w:rsidRDefault="001D7BBF" w:rsidP="001D7BBF">
            <w:pPr>
              <w:pStyle w:val="NoSpacing"/>
              <w:rPr>
                <w:rFonts w:cs="Calibri"/>
              </w:rPr>
            </w:pPr>
            <w:r w:rsidRPr="001F2C44">
              <w:rPr>
                <w:rFonts w:cs="Calibri"/>
              </w:rPr>
              <w:t>Estimate measures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S21</w:t>
            </w:r>
          </w:p>
        </w:tc>
        <w:tc>
          <w:tcPr>
            <w:tcW w:w="8946" w:type="dxa"/>
            <w:shd w:val="clear" w:color="auto" w:fill="auto"/>
          </w:tcPr>
          <w:p w:rsidR="001D7BBF" w:rsidRPr="001F2C44" w:rsidRDefault="001D7BBF" w:rsidP="001D7BBF">
            <w:pPr>
              <w:pStyle w:val="NoSpacing"/>
              <w:rPr>
                <w:rFonts w:cs="Calibri"/>
              </w:rPr>
            </w:pPr>
            <w:r w:rsidRPr="001F2C44">
              <w:rPr>
                <w:rFonts w:cs="Calibri"/>
              </w:rPr>
              <w:t>Know and use the formula for the area of a rectangle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S22</w:t>
            </w:r>
          </w:p>
        </w:tc>
        <w:tc>
          <w:tcPr>
            <w:tcW w:w="8946" w:type="dxa"/>
            <w:shd w:val="clear" w:color="auto" w:fill="auto"/>
          </w:tcPr>
          <w:p w:rsidR="001D7BBF" w:rsidRPr="001F2C44" w:rsidRDefault="001D7BBF" w:rsidP="001D7BBF">
            <w:pPr>
              <w:pStyle w:val="NoSpacing"/>
              <w:rPr>
                <w:rFonts w:cs="Calibri"/>
              </w:rPr>
            </w:pPr>
            <w:r w:rsidRPr="001F2C44">
              <w:rPr>
                <w:rFonts w:cs="Calibri"/>
              </w:rPr>
              <w:t>Draw and interpret simple scale drawings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S23</w:t>
            </w:r>
          </w:p>
        </w:tc>
        <w:tc>
          <w:tcPr>
            <w:tcW w:w="8946" w:type="dxa"/>
            <w:shd w:val="clear" w:color="auto" w:fill="auto"/>
          </w:tcPr>
          <w:p w:rsidR="001D7BBF" w:rsidRPr="001F2C44" w:rsidRDefault="001D7BBF" w:rsidP="001D7BBF">
            <w:pPr>
              <w:pStyle w:val="NoSpacing"/>
              <w:rPr>
                <w:rFonts w:cs="Calibri"/>
              </w:rPr>
            </w:pPr>
            <w:r w:rsidRPr="001F2C44">
              <w:rPr>
                <w:rFonts w:cs="Calibri"/>
              </w:rPr>
              <w:t>Recognise 2-D representations of 3-D shapes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S24</w:t>
            </w:r>
          </w:p>
        </w:tc>
        <w:tc>
          <w:tcPr>
            <w:tcW w:w="8946" w:type="dxa"/>
            <w:shd w:val="clear" w:color="auto" w:fill="auto"/>
          </w:tcPr>
          <w:p w:rsidR="001D7BBF" w:rsidRPr="001F2C44" w:rsidRDefault="001D7BBF" w:rsidP="001D7BBF">
            <w:pPr>
              <w:pStyle w:val="NoSpacing"/>
              <w:rPr>
                <w:rFonts w:cs="Calibri"/>
              </w:rPr>
            </w:pPr>
            <w:r w:rsidRPr="001F2C44">
              <w:rPr>
                <w:rFonts w:cs="Calibri"/>
              </w:rPr>
              <w:t>Know and use properties of quadrilaterals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S25</w:t>
            </w:r>
          </w:p>
        </w:tc>
        <w:tc>
          <w:tcPr>
            <w:tcW w:w="8946" w:type="dxa"/>
            <w:shd w:val="clear" w:color="auto" w:fill="auto"/>
          </w:tcPr>
          <w:p w:rsidR="001D7BBF" w:rsidRPr="001F2C44" w:rsidRDefault="001D7BBF" w:rsidP="001D7BBF">
            <w:pPr>
              <w:pStyle w:val="NoSpacing"/>
              <w:rPr>
                <w:rFonts w:cs="Calibri"/>
              </w:rPr>
            </w:pPr>
            <w:r w:rsidRPr="001F2C44">
              <w:rPr>
                <w:rFonts w:cs="Calibri"/>
              </w:rPr>
              <w:t>Use angle and symmetry properties of polygons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S26</w:t>
            </w:r>
          </w:p>
        </w:tc>
        <w:tc>
          <w:tcPr>
            <w:tcW w:w="8946" w:type="dxa"/>
            <w:shd w:val="clear" w:color="auto" w:fill="auto"/>
          </w:tcPr>
          <w:p w:rsidR="001D7BBF" w:rsidRPr="001F2C44" w:rsidRDefault="001D7BBF" w:rsidP="001D7BBF">
            <w:pPr>
              <w:pStyle w:val="NoSpacing"/>
              <w:rPr>
                <w:rFonts w:cs="Calibri"/>
              </w:rPr>
            </w:pPr>
            <w:r w:rsidRPr="001F2C44">
              <w:rPr>
                <w:rFonts w:cs="Calibri"/>
              </w:rPr>
              <w:t>Use angle properties of intersecting and parallel lines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S27</w:t>
            </w:r>
          </w:p>
        </w:tc>
        <w:tc>
          <w:tcPr>
            <w:tcW w:w="8946" w:type="dxa"/>
            <w:shd w:val="clear" w:color="auto" w:fill="auto"/>
          </w:tcPr>
          <w:p w:rsidR="001D7BBF" w:rsidRPr="001F2C44" w:rsidRDefault="001D7BBF" w:rsidP="001D7BBF">
            <w:pPr>
              <w:pStyle w:val="NoSpacing"/>
              <w:rPr>
                <w:rFonts w:cs="Calibri"/>
              </w:rPr>
            </w:pPr>
            <w:r w:rsidRPr="001F2C44">
              <w:rPr>
                <w:rFonts w:cs="Calibri"/>
              </w:rPr>
              <w:t>Devise instructions for a computer to generate and transform shapes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S28</w:t>
            </w:r>
          </w:p>
        </w:tc>
        <w:tc>
          <w:tcPr>
            <w:tcW w:w="8946" w:type="dxa"/>
            <w:shd w:val="clear" w:color="auto" w:fill="auto"/>
          </w:tcPr>
          <w:p w:rsidR="001D7BBF" w:rsidRPr="001F2C44" w:rsidRDefault="001D7BBF" w:rsidP="001D7BBF">
            <w:pPr>
              <w:pStyle w:val="NoSpacing"/>
              <w:rPr>
                <w:rFonts w:cs="Calibri"/>
              </w:rPr>
            </w:pPr>
            <w:r w:rsidRPr="001F2C44">
              <w:rPr>
                <w:rFonts w:cs="Calibri"/>
              </w:rPr>
              <w:t>Use the formula for the circumference of a circle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S29</w:t>
            </w:r>
          </w:p>
        </w:tc>
        <w:tc>
          <w:tcPr>
            <w:tcW w:w="8946" w:type="dxa"/>
            <w:shd w:val="clear" w:color="auto" w:fill="auto"/>
          </w:tcPr>
          <w:p w:rsidR="001D7BBF" w:rsidRPr="001F2C44" w:rsidRDefault="001D7BBF" w:rsidP="001D7BBF">
            <w:pPr>
              <w:pStyle w:val="NoSpacing"/>
              <w:rPr>
                <w:rFonts w:cs="Calibri"/>
              </w:rPr>
            </w:pPr>
            <w:r w:rsidRPr="001F2C44">
              <w:rPr>
                <w:rFonts w:cs="Calibri"/>
              </w:rPr>
              <w:t>Use the formula for the area of a circle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S30</w:t>
            </w:r>
          </w:p>
        </w:tc>
        <w:tc>
          <w:tcPr>
            <w:tcW w:w="8946" w:type="dxa"/>
            <w:shd w:val="clear" w:color="auto" w:fill="auto"/>
          </w:tcPr>
          <w:p w:rsidR="001D7BBF" w:rsidRPr="001F2C44" w:rsidRDefault="001D7BBF" w:rsidP="001D7BBF">
            <w:pPr>
              <w:pStyle w:val="NoSpacing"/>
              <w:rPr>
                <w:rFonts w:cs="Calibri"/>
              </w:rPr>
            </w:pPr>
            <w:r w:rsidRPr="001F2C44">
              <w:rPr>
                <w:rFonts w:cs="Calibri"/>
              </w:rPr>
              <w:t>Find the areas of plane rectilinear figures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S31</w:t>
            </w:r>
          </w:p>
        </w:tc>
        <w:tc>
          <w:tcPr>
            <w:tcW w:w="8946" w:type="dxa"/>
            <w:shd w:val="clear" w:color="auto" w:fill="auto"/>
          </w:tcPr>
          <w:p w:rsidR="001D7BBF" w:rsidRPr="001F2C44" w:rsidRDefault="001D7BBF" w:rsidP="001D7BBF">
            <w:pPr>
              <w:pStyle w:val="NoSpacing"/>
              <w:rPr>
                <w:rFonts w:cs="Calibri"/>
              </w:rPr>
            </w:pPr>
            <w:r w:rsidRPr="001F2C44">
              <w:rPr>
                <w:rFonts w:cs="Calibri"/>
              </w:rPr>
              <w:t>Use the formulae for the volume of a cuboid</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S32</w:t>
            </w:r>
          </w:p>
        </w:tc>
        <w:tc>
          <w:tcPr>
            <w:tcW w:w="8946" w:type="dxa"/>
            <w:shd w:val="clear" w:color="auto" w:fill="auto"/>
          </w:tcPr>
          <w:p w:rsidR="001D7BBF" w:rsidRPr="001F2C44" w:rsidRDefault="001D7BBF" w:rsidP="001D7BBF">
            <w:pPr>
              <w:pStyle w:val="NoSpacing"/>
              <w:rPr>
                <w:rFonts w:cs="Calibri"/>
              </w:rPr>
            </w:pPr>
            <w:r w:rsidRPr="001F2C44">
              <w:rPr>
                <w:rFonts w:cs="Calibri"/>
              </w:rPr>
              <w:t>Enlarge shapes by a positive whole number scale factor</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S33</w:t>
            </w:r>
          </w:p>
        </w:tc>
        <w:tc>
          <w:tcPr>
            <w:tcW w:w="8946" w:type="dxa"/>
            <w:shd w:val="clear" w:color="auto" w:fill="auto"/>
          </w:tcPr>
          <w:p w:rsidR="001D7BBF" w:rsidRPr="001F2C44" w:rsidRDefault="001D7BBF" w:rsidP="001D7BBF">
            <w:pPr>
              <w:pStyle w:val="NoSpacing"/>
              <w:rPr>
                <w:rFonts w:cs="Calibri"/>
              </w:rPr>
            </w:pPr>
            <w:r w:rsidRPr="001F2C44">
              <w:rPr>
                <w:rFonts w:cs="Calibri"/>
              </w:rPr>
              <w:t>Use Pythagoras' Theorem in 2-D</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S34</w:t>
            </w:r>
          </w:p>
        </w:tc>
        <w:tc>
          <w:tcPr>
            <w:tcW w:w="8946" w:type="dxa"/>
            <w:shd w:val="clear" w:color="auto" w:fill="auto"/>
          </w:tcPr>
          <w:p w:rsidR="001D7BBF" w:rsidRPr="001F2C44" w:rsidRDefault="001D7BBF" w:rsidP="001D7BBF">
            <w:pPr>
              <w:pStyle w:val="NoSpacing"/>
              <w:rPr>
                <w:rFonts w:cs="Calibri"/>
              </w:rPr>
            </w:pPr>
            <w:r w:rsidRPr="001F2C44">
              <w:rPr>
                <w:rFonts w:cs="Calibri"/>
              </w:rPr>
              <w:t>Calculate lengths and areas in plane shapes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S35</w:t>
            </w:r>
          </w:p>
        </w:tc>
        <w:tc>
          <w:tcPr>
            <w:tcW w:w="8946" w:type="dxa"/>
            <w:shd w:val="clear" w:color="auto" w:fill="auto"/>
          </w:tcPr>
          <w:p w:rsidR="001D7BBF" w:rsidRPr="001F2C44" w:rsidRDefault="001D7BBF" w:rsidP="001D7BBF">
            <w:pPr>
              <w:pStyle w:val="NoSpacing"/>
              <w:rPr>
                <w:rFonts w:cs="Calibri"/>
              </w:rPr>
            </w:pPr>
            <w:r w:rsidRPr="001F2C44">
              <w:rPr>
                <w:rFonts w:cs="Calibri"/>
              </w:rPr>
              <w:t>Calculate volumes of prisms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S36</w:t>
            </w:r>
          </w:p>
        </w:tc>
        <w:tc>
          <w:tcPr>
            <w:tcW w:w="8946" w:type="dxa"/>
            <w:shd w:val="clear" w:color="auto" w:fill="auto"/>
          </w:tcPr>
          <w:p w:rsidR="001D7BBF" w:rsidRPr="001F2C44" w:rsidRDefault="001D7BBF" w:rsidP="001D7BBF">
            <w:pPr>
              <w:pStyle w:val="NoSpacing"/>
              <w:rPr>
                <w:rFonts w:cs="Calibri"/>
              </w:rPr>
            </w:pPr>
            <w:r w:rsidRPr="001F2C44">
              <w:rPr>
                <w:rFonts w:cs="Calibri"/>
              </w:rPr>
              <w:t>Enlarge shapes by a fractional scale factor</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S37</w:t>
            </w:r>
          </w:p>
        </w:tc>
        <w:tc>
          <w:tcPr>
            <w:tcW w:w="8946" w:type="dxa"/>
            <w:shd w:val="clear" w:color="auto" w:fill="auto"/>
          </w:tcPr>
          <w:p w:rsidR="001D7BBF" w:rsidRPr="001F2C44" w:rsidRDefault="001D7BBF" w:rsidP="001D7BBF">
            <w:pPr>
              <w:pStyle w:val="NoSpacing"/>
              <w:rPr>
                <w:rFonts w:cs="Calibri"/>
              </w:rPr>
            </w:pPr>
            <w:r w:rsidRPr="001F2C44">
              <w:rPr>
                <w:rFonts w:cs="Calibri"/>
              </w:rPr>
              <w:t>Determine the locus of a moving object</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S38</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the limitations of accuracy of measurements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S39</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and use compound measures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S40</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and use similarity and congruence</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S41</w:t>
            </w:r>
          </w:p>
        </w:tc>
        <w:tc>
          <w:tcPr>
            <w:tcW w:w="8946" w:type="dxa"/>
            <w:shd w:val="clear" w:color="auto" w:fill="auto"/>
          </w:tcPr>
          <w:p w:rsidR="001D7BBF" w:rsidRPr="001F2C44" w:rsidRDefault="001D7BBF" w:rsidP="001D7BBF">
            <w:pPr>
              <w:pStyle w:val="NoSpacing"/>
              <w:rPr>
                <w:rFonts w:cs="Calibri"/>
              </w:rPr>
            </w:pPr>
            <w:r w:rsidRPr="001F2C44">
              <w:rPr>
                <w:rFonts w:cs="Calibri"/>
              </w:rPr>
              <w:t>Use trigonometry in 2-D</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S42</w:t>
            </w:r>
          </w:p>
        </w:tc>
        <w:tc>
          <w:tcPr>
            <w:tcW w:w="8946" w:type="dxa"/>
            <w:shd w:val="clear" w:color="auto" w:fill="auto"/>
          </w:tcPr>
          <w:p w:rsidR="001D7BBF" w:rsidRPr="001F2C44" w:rsidRDefault="001D7BBF" w:rsidP="001D7BBF">
            <w:pPr>
              <w:pStyle w:val="NoSpacing"/>
              <w:rPr>
                <w:rFonts w:cs="Calibri"/>
              </w:rPr>
            </w:pPr>
            <w:r w:rsidRPr="001F2C44">
              <w:rPr>
                <w:rFonts w:cs="Calibri"/>
              </w:rPr>
              <w:t>Distinguish between formulae for perimeter, area and volume by considering dimensions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S43</w:t>
            </w:r>
          </w:p>
        </w:tc>
        <w:tc>
          <w:tcPr>
            <w:tcW w:w="8946" w:type="dxa"/>
            <w:shd w:val="clear" w:color="auto" w:fill="auto"/>
          </w:tcPr>
          <w:p w:rsidR="001D7BBF" w:rsidRPr="001F2C44" w:rsidRDefault="001D7BBF" w:rsidP="001D7BBF">
            <w:pPr>
              <w:pStyle w:val="NoSpacing"/>
              <w:rPr>
                <w:rFonts w:cs="Calibri"/>
              </w:rPr>
            </w:pPr>
            <w:r w:rsidRPr="001F2C44">
              <w:rPr>
                <w:rFonts w:cs="Calibri"/>
              </w:rPr>
              <w:t>Use Pythagoras' Theorem in 3-D</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S44</w:t>
            </w:r>
          </w:p>
        </w:tc>
        <w:tc>
          <w:tcPr>
            <w:tcW w:w="8946" w:type="dxa"/>
            <w:shd w:val="clear" w:color="auto" w:fill="auto"/>
          </w:tcPr>
          <w:p w:rsidR="001D7BBF" w:rsidRPr="001F2C44" w:rsidRDefault="001D7BBF" w:rsidP="001D7BBF">
            <w:pPr>
              <w:pStyle w:val="NoSpacing"/>
              <w:rPr>
                <w:rFonts w:cs="Calibri"/>
              </w:rPr>
            </w:pPr>
            <w:r w:rsidRPr="001F2C44">
              <w:rPr>
                <w:rFonts w:cs="Calibri"/>
              </w:rPr>
              <w:t>Use trigonometry in 3-D</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S45</w:t>
            </w:r>
          </w:p>
        </w:tc>
        <w:tc>
          <w:tcPr>
            <w:tcW w:w="8946" w:type="dxa"/>
            <w:shd w:val="clear" w:color="auto" w:fill="auto"/>
          </w:tcPr>
          <w:p w:rsidR="001D7BBF" w:rsidRPr="001F2C44" w:rsidRDefault="001D7BBF" w:rsidP="001D7BBF">
            <w:pPr>
              <w:pStyle w:val="NoSpacing"/>
              <w:rPr>
                <w:rFonts w:cs="Calibri"/>
              </w:rPr>
            </w:pPr>
            <w:r w:rsidRPr="001F2C44">
              <w:rPr>
                <w:rFonts w:cs="Calibri"/>
              </w:rPr>
              <w:t>Calculate lengths of circular arcs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S46</w:t>
            </w:r>
          </w:p>
        </w:tc>
        <w:tc>
          <w:tcPr>
            <w:tcW w:w="8946" w:type="dxa"/>
            <w:shd w:val="clear" w:color="auto" w:fill="auto"/>
          </w:tcPr>
          <w:p w:rsidR="001D7BBF" w:rsidRPr="001F2C44" w:rsidRDefault="001D7BBF" w:rsidP="001D7BBF">
            <w:pPr>
              <w:pStyle w:val="NoSpacing"/>
              <w:rPr>
                <w:rFonts w:cs="Calibri"/>
              </w:rPr>
            </w:pPr>
            <w:r w:rsidRPr="001F2C44">
              <w:rPr>
                <w:rFonts w:cs="Calibri"/>
              </w:rPr>
              <w:t>Calculate areas of sectors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S47</w:t>
            </w:r>
          </w:p>
        </w:tc>
        <w:tc>
          <w:tcPr>
            <w:tcW w:w="8946" w:type="dxa"/>
            <w:shd w:val="clear" w:color="auto" w:fill="auto"/>
          </w:tcPr>
          <w:p w:rsidR="001D7BBF" w:rsidRPr="001F2C44" w:rsidRDefault="001D7BBF" w:rsidP="001D7BBF">
            <w:pPr>
              <w:pStyle w:val="NoSpacing"/>
              <w:rPr>
                <w:rFonts w:cs="Calibri"/>
              </w:rPr>
            </w:pPr>
            <w:r w:rsidRPr="001F2C44">
              <w:rPr>
                <w:rFonts w:cs="Calibri"/>
              </w:rPr>
              <w:t>Calculate surface area of cylinders</w:t>
            </w:r>
          </w:p>
        </w:tc>
      </w:tr>
      <w:tr w:rsidR="001D7BBF" w:rsidRPr="00840526" w:rsidTr="001D7BBF">
        <w:trPr>
          <w:jc w:val="center"/>
        </w:trPr>
        <w:tc>
          <w:tcPr>
            <w:tcW w:w="660" w:type="dxa"/>
            <w:tcBorders>
              <w:bottom w:val="single" w:sz="4" w:space="0" w:color="auto"/>
            </w:tcBorders>
            <w:shd w:val="clear" w:color="auto" w:fill="auto"/>
            <w:vAlign w:val="center"/>
          </w:tcPr>
          <w:p w:rsidR="001D7BBF" w:rsidRPr="001D7BBF" w:rsidRDefault="001D7BBF" w:rsidP="001D7BBF">
            <w:pPr>
              <w:pStyle w:val="NoSpacing"/>
              <w:jc w:val="center"/>
              <w:rPr>
                <w:b/>
              </w:rPr>
            </w:pPr>
            <w:r w:rsidRPr="001D7BBF">
              <w:rPr>
                <w:b/>
              </w:rPr>
              <w:t>S48</w:t>
            </w:r>
          </w:p>
        </w:tc>
        <w:tc>
          <w:tcPr>
            <w:tcW w:w="8946" w:type="dxa"/>
            <w:tcBorders>
              <w:bottom w:val="single" w:sz="4" w:space="0" w:color="auto"/>
            </w:tcBorders>
            <w:shd w:val="clear" w:color="auto" w:fill="auto"/>
          </w:tcPr>
          <w:p w:rsidR="001D7BBF" w:rsidRPr="001F2C44" w:rsidRDefault="001D7BBF" w:rsidP="001D7BBF">
            <w:pPr>
              <w:pStyle w:val="NoSpacing"/>
              <w:rPr>
                <w:rFonts w:cs="Calibri"/>
              </w:rPr>
            </w:pPr>
            <w:r w:rsidRPr="001F2C44">
              <w:rPr>
                <w:rFonts w:cs="Calibri"/>
              </w:rPr>
              <w:t>Calculate volume of cones and spheres</w:t>
            </w:r>
          </w:p>
        </w:tc>
      </w:tr>
      <w:tr w:rsidR="001D7BBF" w:rsidRPr="001F2C44" w:rsidTr="001D7BBF">
        <w:trPr>
          <w:jc w:val="center"/>
        </w:trPr>
        <w:tc>
          <w:tcPr>
            <w:tcW w:w="660" w:type="dxa"/>
            <w:shd w:val="pct5" w:color="auto" w:fill="auto"/>
            <w:vAlign w:val="center"/>
          </w:tcPr>
          <w:p w:rsidR="001D7BBF" w:rsidRPr="001D7BBF" w:rsidRDefault="001D7BBF" w:rsidP="001D7BBF">
            <w:pPr>
              <w:pStyle w:val="NoSpacing"/>
              <w:jc w:val="center"/>
              <w:rPr>
                <w:b/>
              </w:rPr>
            </w:pPr>
          </w:p>
        </w:tc>
        <w:tc>
          <w:tcPr>
            <w:tcW w:w="8946" w:type="dxa"/>
            <w:tcBorders>
              <w:right w:val="single" w:sz="4" w:space="0" w:color="auto"/>
            </w:tcBorders>
            <w:shd w:val="pct5" w:color="auto" w:fill="auto"/>
          </w:tcPr>
          <w:p w:rsidR="001D7BBF" w:rsidRPr="001D7BBF" w:rsidRDefault="001D7BBF" w:rsidP="001D7BBF">
            <w:pPr>
              <w:pStyle w:val="NoSpacing"/>
              <w:jc w:val="center"/>
              <w:rPr>
                <w:b/>
                <w:lang w:val="en-US"/>
              </w:rPr>
            </w:pPr>
            <w:r w:rsidRPr="001D7BBF">
              <w:rPr>
                <w:rFonts w:eastAsia="Times New Roman" w:cs="Calibri"/>
                <w:b/>
                <w:lang w:val="en-US"/>
              </w:rPr>
              <w:t>Handling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w:t>
            </w:r>
          </w:p>
        </w:tc>
        <w:tc>
          <w:tcPr>
            <w:tcW w:w="8946" w:type="dxa"/>
            <w:tcBorders>
              <w:right w:val="single" w:sz="4" w:space="0" w:color="auto"/>
            </w:tcBorders>
            <w:shd w:val="clear" w:color="auto" w:fill="auto"/>
          </w:tcPr>
          <w:p w:rsidR="001D7BBF" w:rsidRPr="001F2C44" w:rsidRDefault="001D7BBF" w:rsidP="001D7BBF">
            <w:pPr>
              <w:pStyle w:val="NoSpacing"/>
              <w:rPr>
                <w:rFonts w:cs="Calibri"/>
              </w:rPr>
            </w:pPr>
            <w:r w:rsidRPr="001F2C44">
              <w:rPr>
                <w:rFonts w:cs="Calibri"/>
              </w:rPr>
              <w:t>Sort and classify objects by more than one criterion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w:t>
            </w:r>
          </w:p>
        </w:tc>
        <w:tc>
          <w:tcPr>
            <w:tcW w:w="8946" w:type="dxa"/>
            <w:shd w:val="clear" w:color="auto" w:fill="auto"/>
          </w:tcPr>
          <w:p w:rsidR="001D7BBF" w:rsidRPr="001F2C44" w:rsidRDefault="001D7BBF" w:rsidP="001D7BBF">
            <w:pPr>
              <w:pStyle w:val="NoSpacing"/>
              <w:rPr>
                <w:rFonts w:cs="Calibri"/>
              </w:rPr>
            </w:pPr>
            <w:r w:rsidRPr="001F2C44">
              <w:rPr>
                <w:rFonts w:cs="Calibri"/>
              </w:rPr>
              <w:t>Record results in simple lists, tables and block graphs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w:t>
            </w:r>
          </w:p>
        </w:tc>
        <w:tc>
          <w:tcPr>
            <w:tcW w:w="8946" w:type="dxa"/>
            <w:shd w:val="clear" w:color="auto" w:fill="auto"/>
          </w:tcPr>
          <w:p w:rsidR="001D7BBF" w:rsidRPr="001F2C44" w:rsidRDefault="001D7BBF" w:rsidP="001D7BBF">
            <w:pPr>
              <w:pStyle w:val="NoSpacing"/>
              <w:rPr>
                <w:rFonts w:cs="Calibri"/>
              </w:rPr>
            </w:pPr>
            <w:r w:rsidRPr="001F2C44">
              <w:rPr>
                <w:rFonts w:cs="Calibri"/>
              </w:rPr>
              <w:t>Interpret simple tables and lists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H4</w:t>
            </w:r>
          </w:p>
        </w:tc>
        <w:tc>
          <w:tcPr>
            <w:tcW w:w="8946" w:type="dxa"/>
            <w:shd w:val="clear" w:color="auto" w:fill="auto"/>
          </w:tcPr>
          <w:p w:rsidR="001D7BBF" w:rsidRPr="001F2C44" w:rsidRDefault="001D7BBF" w:rsidP="001D7BBF">
            <w:pPr>
              <w:pStyle w:val="NoSpacing"/>
              <w:rPr>
                <w:rFonts w:cs="Calibri"/>
              </w:rPr>
            </w:pPr>
            <w:r w:rsidRPr="001F2C44">
              <w:rPr>
                <w:rFonts w:cs="Calibri"/>
              </w:rPr>
              <w:t>Interpret pictograms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H5</w:t>
            </w:r>
          </w:p>
        </w:tc>
        <w:tc>
          <w:tcPr>
            <w:tcW w:w="8946" w:type="dxa"/>
            <w:shd w:val="clear" w:color="auto" w:fill="auto"/>
          </w:tcPr>
          <w:p w:rsidR="001D7BBF" w:rsidRPr="001F2C44" w:rsidRDefault="001D7BBF" w:rsidP="001D7BBF">
            <w:pPr>
              <w:pStyle w:val="NoSpacing"/>
              <w:rPr>
                <w:rFonts w:cs="Calibri"/>
              </w:rPr>
            </w:pPr>
            <w:r w:rsidRPr="001F2C44">
              <w:rPr>
                <w:rFonts w:cs="Calibri"/>
              </w:rPr>
              <w:t>Draw pictograms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H6</w:t>
            </w:r>
          </w:p>
        </w:tc>
        <w:tc>
          <w:tcPr>
            <w:tcW w:w="8946" w:type="dxa"/>
            <w:shd w:val="clear" w:color="auto" w:fill="auto"/>
          </w:tcPr>
          <w:p w:rsidR="001D7BBF" w:rsidRPr="001F2C44" w:rsidRDefault="001D7BBF" w:rsidP="001D7BBF">
            <w:pPr>
              <w:pStyle w:val="NoSpacing"/>
              <w:rPr>
                <w:rFonts w:cs="Calibri"/>
              </w:rPr>
            </w:pPr>
            <w:r w:rsidRPr="001F2C44">
              <w:rPr>
                <w:rFonts w:cs="Calibri"/>
              </w:rPr>
              <w:t>Interpret bar graphs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H7</w:t>
            </w:r>
          </w:p>
        </w:tc>
        <w:tc>
          <w:tcPr>
            <w:tcW w:w="8946" w:type="dxa"/>
            <w:shd w:val="clear" w:color="auto" w:fill="auto"/>
          </w:tcPr>
          <w:p w:rsidR="001D7BBF" w:rsidRPr="001F2C44" w:rsidRDefault="001D7BBF" w:rsidP="001D7BBF">
            <w:pPr>
              <w:pStyle w:val="NoSpacing"/>
              <w:rPr>
                <w:rFonts w:cs="Calibri"/>
              </w:rPr>
            </w:pPr>
            <w:r w:rsidRPr="001F2C44">
              <w:rPr>
                <w:rFonts w:cs="Calibri"/>
              </w:rPr>
              <w:t>Draw bar graphs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H8</w:t>
            </w:r>
          </w:p>
        </w:tc>
        <w:tc>
          <w:tcPr>
            <w:tcW w:w="8946" w:type="dxa"/>
            <w:shd w:val="clear" w:color="auto" w:fill="auto"/>
          </w:tcPr>
          <w:p w:rsidR="001D7BBF" w:rsidRPr="001F2C44" w:rsidRDefault="001D7BBF" w:rsidP="001D7BBF">
            <w:pPr>
              <w:pStyle w:val="NoSpacing"/>
              <w:rPr>
                <w:rFonts w:cs="Calibri"/>
              </w:rPr>
            </w:pPr>
            <w:r w:rsidRPr="001F2C44">
              <w:rPr>
                <w:rFonts w:cs="Calibri"/>
              </w:rPr>
              <w:t>Collect data and record them using frequency tables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H9</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and use the mode, the median and the range of a set of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H10</w:t>
            </w:r>
          </w:p>
        </w:tc>
        <w:tc>
          <w:tcPr>
            <w:tcW w:w="8946" w:type="dxa"/>
            <w:shd w:val="clear" w:color="auto" w:fill="auto"/>
          </w:tcPr>
          <w:p w:rsidR="001D7BBF" w:rsidRPr="001F2C44" w:rsidRDefault="001D7BBF" w:rsidP="001D7BBF">
            <w:pPr>
              <w:pStyle w:val="NoSpacing"/>
              <w:rPr>
                <w:rFonts w:cs="Calibri"/>
              </w:rPr>
            </w:pPr>
            <w:r w:rsidRPr="001F2C44">
              <w:rPr>
                <w:rFonts w:cs="Calibri"/>
              </w:rPr>
              <w:t>Group collected data into equal class intervals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H11</w:t>
            </w:r>
          </w:p>
        </w:tc>
        <w:tc>
          <w:tcPr>
            <w:tcW w:w="8946" w:type="dxa"/>
            <w:shd w:val="clear" w:color="auto" w:fill="auto"/>
          </w:tcPr>
          <w:p w:rsidR="001D7BBF" w:rsidRPr="001F2C44" w:rsidRDefault="001D7BBF" w:rsidP="001D7BBF">
            <w:pPr>
              <w:pStyle w:val="NoSpacing"/>
              <w:rPr>
                <w:rFonts w:cs="Calibri"/>
              </w:rPr>
            </w:pPr>
            <w:r w:rsidRPr="001F2C44">
              <w:rPr>
                <w:rFonts w:cs="Calibri"/>
              </w:rPr>
              <w:t>Draw frequency diagrams using grouped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H12</w:t>
            </w:r>
          </w:p>
        </w:tc>
        <w:tc>
          <w:tcPr>
            <w:tcW w:w="8946" w:type="dxa"/>
            <w:shd w:val="clear" w:color="auto" w:fill="auto"/>
          </w:tcPr>
          <w:p w:rsidR="001D7BBF" w:rsidRPr="001F2C44" w:rsidRDefault="001D7BBF" w:rsidP="001D7BBF">
            <w:pPr>
              <w:pStyle w:val="NoSpacing"/>
              <w:rPr>
                <w:rFonts w:cs="Calibri"/>
              </w:rPr>
            </w:pPr>
            <w:r w:rsidRPr="001F2C44">
              <w:rPr>
                <w:rFonts w:cs="Calibri"/>
              </w:rPr>
              <w:t>Interpret line graphs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H13</w:t>
            </w:r>
          </w:p>
        </w:tc>
        <w:tc>
          <w:tcPr>
            <w:tcW w:w="8946" w:type="dxa"/>
            <w:shd w:val="clear" w:color="auto" w:fill="auto"/>
          </w:tcPr>
          <w:p w:rsidR="001D7BBF" w:rsidRPr="001F2C44" w:rsidRDefault="001D7BBF" w:rsidP="001D7BBF">
            <w:pPr>
              <w:pStyle w:val="NoSpacing"/>
              <w:rPr>
                <w:rFonts w:cs="Calibri"/>
              </w:rPr>
            </w:pPr>
            <w:r w:rsidRPr="001F2C44">
              <w:rPr>
                <w:rFonts w:cs="Calibri"/>
              </w:rPr>
              <w:t>Select and use appropriate scales for axes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H14</w:t>
            </w:r>
          </w:p>
        </w:tc>
        <w:tc>
          <w:tcPr>
            <w:tcW w:w="8946" w:type="dxa"/>
            <w:shd w:val="clear" w:color="auto" w:fill="auto"/>
          </w:tcPr>
          <w:p w:rsidR="001D7BBF" w:rsidRPr="001F2C44" w:rsidRDefault="001D7BBF" w:rsidP="001D7BBF">
            <w:pPr>
              <w:pStyle w:val="NoSpacing"/>
              <w:rPr>
                <w:rFonts w:cs="Calibri"/>
              </w:rPr>
            </w:pPr>
            <w:r w:rsidRPr="001F2C44">
              <w:rPr>
                <w:rFonts w:cs="Calibri"/>
              </w:rPr>
              <w:t>Draw line graphs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H15</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and use the mean of a set of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H16</w:t>
            </w:r>
          </w:p>
        </w:tc>
        <w:tc>
          <w:tcPr>
            <w:tcW w:w="8946" w:type="dxa"/>
            <w:shd w:val="clear" w:color="auto" w:fill="auto"/>
          </w:tcPr>
          <w:p w:rsidR="001D7BBF" w:rsidRPr="001F2C44" w:rsidRDefault="001D7BBF" w:rsidP="001D7BBF">
            <w:pPr>
              <w:pStyle w:val="NoSpacing"/>
              <w:rPr>
                <w:rFonts w:cs="Calibri"/>
              </w:rPr>
            </w:pPr>
            <w:r w:rsidRPr="001F2C44">
              <w:rPr>
                <w:rFonts w:cs="Calibri"/>
              </w:rPr>
              <w:t>Use averages and ranges to compare two sets of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H17</w:t>
            </w:r>
          </w:p>
        </w:tc>
        <w:tc>
          <w:tcPr>
            <w:tcW w:w="8946" w:type="dxa"/>
            <w:shd w:val="clear" w:color="auto" w:fill="auto"/>
          </w:tcPr>
          <w:p w:rsidR="001D7BBF" w:rsidRPr="001F2C44" w:rsidRDefault="001D7BBF" w:rsidP="001D7BBF">
            <w:pPr>
              <w:pStyle w:val="NoSpacing"/>
              <w:rPr>
                <w:rFonts w:cs="Calibri"/>
              </w:rPr>
            </w:pPr>
            <w:r w:rsidRPr="001F2C44">
              <w:rPr>
                <w:rFonts w:cs="Calibri"/>
              </w:rPr>
              <w:t>Interpret pie charts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H18</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and use the probability scale from 0 to 1</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H19</w:t>
            </w:r>
          </w:p>
        </w:tc>
        <w:tc>
          <w:tcPr>
            <w:tcW w:w="8946" w:type="dxa"/>
            <w:shd w:val="clear" w:color="auto" w:fill="auto"/>
          </w:tcPr>
          <w:p w:rsidR="001D7BBF" w:rsidRPr="001F2C44" w:rsidRDefault="001D7BBF" w:rsidP="001D7BBF">
            <w:pPr>
              <w:pStyle w:val="NoSpacing"/>
              <w:rPr>
                <w:rFonts w:cs="Calibri"/>
              </w:rPr>
            </w:pPr>
            <w:r w:rsidRPr="001F2C44">
              <w:rPr>
                <w:rFonts w:cs="Calibri"/>
              </w:rPr>
              <w:t>Find probabilities using equally likely outcomes or experiment</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lastRenderedPageBreak/>
              <w:t>H20</w:t>
            </w:r>
          </w:p>
        </w:tc>
        <w:tc>
          <w:tcPr>
            <w:tcW w:w="8946" w:type="dxa"/>
            <w:shd w:val="clear" w:color="auto" w:fill="auto"/>
          </w:tcPr>
          <w:p w:rsidR="001D7BBF" w:rsidRPr="001F2C44" w:rsidRDefault="001D7BBF" w:rsidP="001D7BBF">
            <w:pPr>
              <w:pStyle w:val="NoSpacing"/>
              <w:rPr>
                <w:rFonts w:cs="Calibri"/>
              </w:rPr>
            </w:pPr>
            <w:r w:rsidRPr="001F2C44">
              <w:rPr>
                <w:rFonts w:cs="Calibri"/>
              </w:rPr>
              <w:t>Create frequency tables with equal class intervals to record continuous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H21</w:t>
            </w:r>
          </w:p>
        </w:tc>
        <w:tc>
          <w:tcPr>
            <w:tcW w:w="8946" w:type="dxa"/>
            <w:shd w:val="clear" w:color="auto" w:fill="auto"/>
          </w:tcPr>
          <w:p w:rsidR="001D7BBF" w:rsidRPr="001F2C44" w:rsidRDefault="001D7BBF" w:rsidP="001D7BBF">
            <w:pPr>
              <w:pStyle w:val="NoSpacing"/>
              <w:rPr>
                <w:rFonts w:cs="Calibri"/>
              </w:rPr>
            </w:pPr>
            <w:r w:rsidRPr="001F2C44">
              <w:rPr>
                <w:rFonts w:cs="Calibri"/>
              </w:rPr>
              <w:t>Draw frequency diagrams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H22</w:t>
            </w:r>
          </w:p>
        </w:tc>
        <w:tc>
          <w:tcPr>
            <w:tcW w:w="8946" w:type="dxa"/>
            <w:shd w:val="clear" w:color="auto" w:fill="auto"/>
          </w:tcPr>
          <w:p w:rsidR="001D7BBF" w:rsidRPr="001F2C44" w:rsidRDefault="001D7BBF" w:rsidP="001D7BBF">
            <w:pPr>
              <w:pStyle w:val="NoSpacing"/>
              <w:rPr>
                <w:rFonts w:cs="Calibri"/>
              </w:rPr>
            </w:pPr>
            <w:r w:rsidRPr="001F2C44">
              <w:rPr>
                <w:rFonts w:cs="Calibri"/>
              </w:rPr>
              <w:t>Draw pie charts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H23</w:t>
            </w:r>
          </w:p>
        </w:tc>
        <w:tc>
          <w:tcPr>
            <w:tcW w:w="8946" w:type="dxa"/>
            <w:shd w:val="clear" w:color="auto" w:fill="auto"/>
          </w:tcPr>
          <w:p w:rsidR="001D7BBF" w:rsidRPr="001F2C44" w:rsidRDefault="001D7BBF" w:rsidP="001D7BBF">
            <w:pPr>
              <w:pStyle w:val="NoSpacing"/>
              <w:rPr>
                <w:rFonts w:cs="Calibri"/>
              </w:rPr>
            </w:pPr>
            <w:r w:rsidRPr="001F2C44">
              <w:rPr>
                <w:rFonts w:cs="Calibri"/>
              </w:rPr>
              <w:t>Draw scatter diagrams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H24</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simple correlation</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H25</w:t>
            </w:r>
          </w:p>
        </w:tc>
        <w:tc>
          <w:tcPr>
            <w:tcW w:w="8946" w:type="dxa"/>
            <w:shd w:val="clear" w:color="auto" w:fill="auto"/>
          </w:tcPr>
          <w:p w:rsidR="001D7BBF" w:rsidRPr="001F2C44" w:rsidRDefault="001D7BBF" w:rsidP="001D7BBF">
            <w:pPr>
              <w:pStyle w:val="NoSpacing"/>
              <w:rPr>
                <w:rFonts w:cs="Calibri"/>
              </w:rPr>
            </w:pPr>
            <w:r w:rsidRPr="001F2C44">
              <w:rPr>
                <w:rFonts w:cs="Calibri"/>
              </w:rPr>
              <w:t>Use two-way tables to record all the possible outcomes of two events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H26</w:t>
            </w:r>
          </w:p>
        </w:tc>
        <w:tc>
          <w:tcPr>
            <w:tcW w:w="8946" w:type="dxa"/>
            <w:shd w:val="clear" w:color="auto" w:fill="auto"/>
          </w:tcPr>
          <w:p w:rsidR="001D7BBF" w:rsidRPr="001F2C44" w:rsidRDefault="001D7BBF" w:rsidP="001D7BBF">
            <w:pPr>
              <w:pStyle w:val="NoSpacing"/>
              <w:rPr>
                <w:rFonts w:cs="Calibri"/>
              </w:rPr>
            </w:pPr>
            <w:r w:rsidRPr="001F2C44">
              <w:rPr>
                <w:rFonts w:cs="Calibri"/>
              </w:rPr>
              <w:t>Use the fact that the total probability of all mutually exclusive outcomes of an experiment is 1</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H27</w:t>
            </w:r>
          </w:p>
        </w:tc>
        <w:tc>
          <w:tcPr>
            <w:tcW w:w="8946" w:type="dxa"/>
            <w:shd w:val="clear" w:color="auto" w:fill="auto"/>
          </w:tcPr>
          <w:p w:rsidR="001D7BBF" w:rsidRPr="001F2C44" w:rsidRDefault="001D7BBF" w:rsidP="001D7BBF">
            <w:pPr>
              <w:pStyle w:val="NoSpacing"/>
              <w:rPr>
                <w:rFonts w:cs="Calibri"/>
              </w:rPr>
            </w:pPr>
            <w:r w:rsidRPr="001F2C44">
              <w:rPr>
                <w:rFonts w:cs="Calibri"/>
              </w:rPr>
              <w:t>Specify and test hypotheses using appropriate methods and taking account of variability and bias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H28</w:t>
            </w:r>
          </w:p>
        </w:tc>
        <w:tc>
          <w:tcPr>
            <w:tcW w:w="8946" w:type="dxa"/>
            <w:shd w:val="clear" w:color="auto" w:fill="auto"/>
          </w:tcPr>
          <w:p w:rsidR="001D7BBF" w:rsidRPr="001F2C44" w:rsidRDefault="001D7BBF" w:rsidP="001D7BBF">
            <w:pPr>
              <w:pStyle w:val="NoSpacing"/>
              <w:rPr>
                <w:rFonts w:cs="Calibri"/>
              </w:rPr>
            </w:pPr>
            <w:r w:rsidRPr="001F2C44">
              <w:rPr>
                <w:rFonts w:cs="Calibri"/>
              </w:rPr>
              <w:t>Find modal class of grouped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H29</w:t>
            </w:r>
          </w:p>
        </w:tc>
        <w:tc>
          <w:tcPr>
            <w:tcW w:w="8946" w:type="dxa"/>
            <w:shd w:val="clear" w:color="auto" w:fill="auto"/>
          </w:tcPr>
          <w:p w:rsidR="001D7BBF" w:rsidRPr="001F2C44" w:rsidRDefault="001D7BBF" w:rsidP="001D7BBF">
            <w:pPr>
              <w:pStyle w:val="NoSpacing"/>
              <w:rPr>
                <w:rFonts w:cs="Calibri"/>
              </w:rPr>
            </w:pPr>
            <w:r w:rsidRPr="001F2C44">
              <w:rPr>
                <w:rFonts w:cs="Calibri"/>
              </w:rPr>
              <w:t>Estimate the mean, median and range of grouped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H30</w:t>
            </w:r>
          </w:p>
        </w:tc>
        <w:tc>
          <w:tcPr>
            <w:tcW w:w="8946" w:type="dxa"/>
            <w:shd w:val="clear" w:color="auto" w:fill="auto"/>
          </w:tcPr>
          <w:p w:rsidR="001D7BBF" w:rsidRPr="001F2C44" w:rsidRDefault="001D7BBF" w:rsidP="001D7BBF">
            <w:pPr>
              <w:pStyle w:val="NoSpacing"/>
              <w:rPr>
                <w:rFonts w:cs="Calibri"/>
              </w:rPr>
            </w:pPr>
            <w:r w:rsidRPr="001F2C44">
              <w:rPr>
                <w:rFonts w:cs="Calibri"/>
              </w:rPr>
              <w:t>Use averages and ranges and frequency polygons to compare two sets of data</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H31</w:t>
            </w:r>
          </w:p>
        </w:tc>
        <w:tc>
          <w:tcPr>
            <w:tcW w:w="8946" w:type="dxa"/>
            <w:shd w:val="clear" w:color="auto" w:fill="auto"/>
          </w:tcPr>
          <w:p w:rsidR="001D7BBF" w:rsidRPr="001F2C44" w:rsidRDefault="001D7BBF" w:rsidP="001D7BBF">
            <w:pPr>
              <w:pStyle w:val="NoSpacing"/>
              <w:rPr>
                <w:rFonts w:cs="Calibri"/>
              </w:rPr>
            </w:pPr>
            <w:r w:rsidRPr="001F2C44">
              <w:rPr>
                <w:rFonts w:cs="Calibri"/>
              </w:rPr>
              <w:t>Draw a line of best fit on a scatter diagram</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H32</w:t>
            </w:r>
          </w:p>
        </w:tc>
        <w:tc>
          <w:tcPr>
            <w:tcW w:w="8946" w:type="dxa"/>
            <w:shd w:val="clear" w:color="auto" w:fill="auto"/>
          </w:tcPr>
          <w:p w:rsidR="001D7BBF" w:rsidRPr="001F2C44" w:rsidRDefault="001D7BBF" w:rsidP="001D7BBF">
            <w:pPr>
              <w:pStyle w:val="NoSpacing"/>
              <w:rPr>
                <w:rFonts w:cs="Calibri"/>
              </w:rPr>
            </w:pPr>
            <w:r w:rsidRPr="001F2C44">
              <w:rPr>
                <w:rFonts w:cs="Calibri"/>
              </w:rPr>
              <w:t>Use relative frequency to estimate probability</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H33</w:t>
            </w:r>
          </w:p>
        </w:tc>
        <w:tc>
          <w:tcPr>
            <w:tcW w:w="8946" w:type="dxa"/>
            <w:shd w:val="clear" w:color="auto" w:fill="auto"/>
          </w:tcPr>
          <w:p w:rsidR="001D7BBF" w:rsidRPr="001F2C44" w:rsidRDefault="001D7BBF" w:rsidP="001D7BBF">
            <w:pPr>
              <w:pStyle w:val="NoSpacing"/>
              <w:rPr>
                <w:rFonts w:cs="Calibri"/>
              </w:rPr>
            </w:pPr>
            <w:r w:rsidRPr="001F2C44">
              <w:rPr>
                <w:rFonts w:cs="Calibri"/>
              </w:rPr>
              <w:t>Interpret cumulative frequency tables and diagrams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H34</w:t>
            </w:r>
          </w:p>
        </w:tc>
        <w:tc>
          <w:tcPr>
            <w:tcW w:w="8946" w:type="dxa"/>
            <w:shd w:val="clear" w:color="auto" w:fill="auto"/>
          </w:tcPr>
          <w:p w:rsidR="001D7BBF" w:rsidRPr="001F2C44" w:rsidRDefault="001D7BBF" w:rsidP="001D7BBF">
            <w:pPr>
              <w:pStyle w:val="NoSpacing"/>
              <w:rPr>
                <w:rFonts w:cs="Calibri"/>
              </w:rPr>
            </w:pPr>
            <w:r w:rsidRPr="001F2C44">
              <w:rPr>
                <w:rFonts w:cs="Calibri"/>
              </w:rPr>
              <w:t>Construct cumulative frequency tables and diagrams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H35</w:t>
            </w:r>
          </w:p>
        </w:tc>
        <w:tc>
          <w:tcPr>
            <w:tcW w:w="8946" w:type="dxa"/>
            <w:shd w:val="clear" w:color="auto" w:fill="auto"/>
          </w:tcPr>
          <w:p w:rsidR="001D7BBF" w:rsidRPr="001F2C44" w:rsidRDefault="001D7BBF" w:rsidP="001D7BBF">
            <w:pPr>
              <w:pStyle w:val="NoSpacing"/>
              <w:rPr>
                <w:rFonts w:cs="Calibri"/>
              </w:rPr>
            </w:pPr>
            <w:r w:rsidRPr="001F2C44">
              <w:rPr>
                <w:rFonts w:cs="Calibri"/>
              </w:rPr>
              <w:t>Estimate the median, quartiles and inter-quartile range from a cumulative frequency diagram</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H36</w:t>
            </w:r>
          </w:p>
        </w:tc>
        <w:tc>
          <w:tcPr>
            <w:tcW w:w="8946" w:type="dxa"/>
            <w:shd w:val="clear" w:color="auto" w:fill="auto"/>
          </w:tcPr>
          <w:p w:rsidR="001D7BBF" w:rsidRPr="001F2C44" w:rsidRDefault="001D7BBF" w:rsidP="001D7BBF">
            <w:pPr>
              <w:pStyle w:val="NoSpacing"/>
              <w:rPr>
                <w:rFonts w:cs="Calibri"/>
              </w:rPr>
            </w:pPr>
            <w:r w:rsidRPr="001F2C44">
              <w:rPr>
                <w:rFonts w:cs="Calibri"/>
              </w:rPr>
              <w:t>Interpret histograms with unequal class intervals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H37</w:t>
            </w:r>
          </w:p>
        </w:tc>
        <w:tc>
          <w:tcPr>
            <w:tcW w:w="8946" w:type="dxa"/>
            <w:shd w:val="clear" w:color="auto" w:fill="auto"/>
          </w:tcPr>
          <w:p w:rsidR="001D7BBF" w:rsidRPr="001F2C44" w:rsidRDefault="001D7BBF" w:rsidP="001D7BBF">
            <w:pPr>
              <w:pStyle w:val="NoSpacing"/>
              <w:rPr>
                <w:rFonts w:cs="Calibri"/>
              </w:rPr>
            </w:pPr>
            <w:r w:rsidRPr="001F2C44">
              <w:rPr>
                <w:rFonts w:cs="Calibri"/>
              </w:rPr>
              <w:t>Understand and use sampling</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H38</w:t>
            </w:r>
          </w:p>
        </w:tc>
        <w:tc>
          <w:tcPr>
            <w:tcW w:w="8946" w:type="dxa"/>
            <w:shd w:val="clear" w:color="auto" w:fill="auto"/>
          </w:tcPr>
          <w:p w:rsidR="001D7BBF" w:rsidRPr="001F2C44" w:rsidRDefault="001D7BBF" w:rsidP="001D7BBF">
            <w:pPr>
              <w:pStyle w:val="NoSpacing"/>
              <w:rPr>
                <w:rFonts w:cs="Calibri"/>
              </w:rPr>
            </w:pPr>
            <w:r w:rsidRPr="001F2C44">
              <w:rPr>
                <w:rFonts w:cs="Calibri"/>
              </w:rPr>
              <w:t>Draw histograms with unequal class intervals</w:t>
            </w:r>
          </w:p>
        </w:tc>
      </w:tr>
      <w:tr w:rsidR="001D7BBF" w:rsidRPr="00840526" w:rsidTr="001D7BBF">
        <w:trPr>
          <w:jc w:val="center"/>
        </w:trPr>
        <w:tc>
          <w:tcPr>
            <w:tcW w:w="660" w:type="dxa"/>
            <w:shd w:val="clear" w:color="auto" w:fill="auto"/>
            <w:vAlign w:val="center"/>
          </w:tcPr>
          <w:p w:rsidR="001D7BBF" w:rsidRPr="001D7BBF" w:rsidRDefault="001D7BBF" w:rsidP="001D7BBF">
            <w:pPr>
              <w:pStyle w:val="NoSpacing"/>
              <w:jc w:val="center"/>
              <w:rPr>
                <w:b/>
              </w:rPr>
            </w:pPr>
            <w:r w:rsidRPr="001D7BBF">
              <w:rPr>
                <w:b/>
              </w:rPr>
              <w:t>H39</w:t>
            </w:r>
          </w:p>
        </w:tc>
        <w:tc>
          <w:tcPr>
            <w:tcW w:w="8946" w:type="dxa"/>
            <w:shd w:val="clear" w:color="auto" w:fill="auto"/>
          </w:tcPr>
          <w:p w:rsidR="001D7BBF" w:rsidRPr="001F2C44" w:rsidRDefault="001D7BBF" w:rsidP="001D7BBF">
            <w:pPr>
              <w:pStyle w:val="NoSpacing"/>
              <w:rPr>
                <w:rFonts w:cs="Calibri"/>
              </w:rPr>
            </w:pPr>
            <w:r w:rsidRPr="001F2C44">
              <w:rPr>
                <w:rFonts w:cs="Calibri"/>
              </w:rPr>
              <w:t>Use Spearman's coefficient of correlation</w:t>
            </w:r>
          </w:p>
        </w:tc>
      </w:tr>
    </w:tbl>
    <w:p w:rsidR="009344D6" w:rsidRPr="00407DAD" w:rsidRDefault="009344D6" w:rsidP="009344D6">
      <w:pPr>
        <w:autoSpaceDE w:val="0"/>
        <w:autoSpaceDN w:val="0"/>
        <w:adjustRightInd w:val="0"/>
        <w:rPr>
          <w:rFonts w:ascii="Calibri" w:hAnsi="Calibri" w:cs="Calibri"/>
          <w:b/>
          <w:bCs/>
          <w:color w:val="000000"/>
          <w:lang w:eastAsia="en-GB"/>
        </w:rPr>
      </w:pPr>
    </w:p>
    <w:sectPr w:rsidR="009344D6" w:rsidRPr="00407D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B7" w:rsidRDefault="007033CE">
      <w:pPr>
        <w:spacing w:after="0" w:line="240" w:lineRule="auto"/>
      </w:pPr>
      <w:r>
        <w:separator/>
      </w:r>
    </w:p>
  </w:endnote>
  <w:endnote w:type="continuationSeparator" w:id="0">
    <w:p w:rsidR="00355CB7" w:rsidRDefault="007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0351"/>
      <w:docPartObj>
        <w:docPartGallery w:val="Page Numbers (Bottom of Page)"/>
        <w:docPartUnique/>
      </w:docPartObj>
    </w:sdtPr>
    <w:sdtEndPr>
      <w:rPr>
        <w:noProof/>
      </w:rPr>
    </w:sdtEndPr>
    <w:sdtContent>
      <w:p w:rsidR="00355CB7" w:rsidRDefault="007033CE">
        <w:pPr>
          <w:pStyle w:val="Footer"/>
          <w:jc w:val="center"/>
        </w:pPr>
        <w:r>
          <w:fldChar w:fldCharType="begin"/>
        </w:r>
        <w:r>
          <w:instrText xml:space="preserve"> PAGE   \* MERGEFORMAT </w:instrText>
        </w:r>
        <w:r>
          <w:fldChar w:fldCharType="separate"/>
        </w:r>
        <w:r w:rsidR="007324DF">
          <w:rPr>
            <w:noProof/>
          </w:rPr>
          <w:t>7</w:t>
        </w:r>
        <w:r>
          <w:rPr>
            <w:noProof/>
          </w:rPr>
          <w:fldChar w:fldCharType="end"/>
        </w:r>
      </w:p>
    </w:sdtContent>
  </w:sdt>
  <w:p w:rsidR="00355CB7" w:rsidRDefault="00355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B7" w:rsidRDefault="007033CE">
      <w:pPr>
        <w:spacing w:after="0" w:line="240" w:lineRule="auto"/>
      </w:pPr>
      <w:r>
        <w:separator/>
      </w:r>
    </w:p>
  </w:footnote>
  <w:footnote w:type="continuationSeparator" w:id="0">
    <w:p w:rsidR="00355CB7" w:rsidRDefault="00703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3537"/>
    <w:multiLevelType w:val="hybridMultilevel"/>
    <w:tmpl w:val="6A78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91"/>
    <w:multiLevelType w:val="hybridMultilevel"/>
    <w:tmpl w:val="D1C2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283A"/>
    <w:multiLevelType w:val="multilevel"/>
    <w:tmpl w:val="E4F0854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546A30"/>
    <w:multiLevelType w:val="hybridMultilevel"/>
    <w:tmpl w:val="6F1A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F78AD"/>
    <w:multiLevelType w:val="hybridMultilevel"/>
    <w:tmpl w:val="9ED8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60886"/>
    <w:multiLevelType w:val="hybridMultilevel"/>
    <w:tmpl w:val="3A36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11832"/>
    <w:multiLevelType w:val="hybridMultilevel"/>
    <w:tmpl w:val="C88A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B63C3"/>
    <w:multiLevelType w:val="hybridMultilevel"/>
    <w:tmpl w:val="D2685864"/>
    <w:lvl w:ilvl="0" w:tplc="E6FC188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E3D2D"/>
    <w:multiLevelType w:val="hybridMultilevel"/>
    <w:tmpl w:val="5D5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A79D1"/>
    <w:multiLevelType w:val="hybridMultilevel"/>
    <w:tmpl w:val="2B1671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E508B"/>
    <w:multiLevelType w:val="multilevel"/>
    <w:tmpl w:val="4BA8ED1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F4B2476"/>
    <w:multiLevelType w:val="hybridMultilevel"/>
    <w:tmpl w:val="EA1C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11"/>
  </w:num>
  <w:num w:numId="7">
    <w:abstractNumId w:val="4"/>
  </w:num>
  <w:num w:numId="8">
    <w:abstractNumId w:val="6"/>
  </w:num>
  <w:num w:numId="9">
    <w:abstractNumId w:val="8"/>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B7"/>
    <w:rsid w:val="001D7BBF"/>
    <w:rsid w:val="00345CF2"/>
    <w:rsid w:val="00355CB7"/>
    <w:rsid w:val="007033CE"/>
    <w:rsid w:val="007324DF"/>
    <w:rsid w:val="009344D6"/>
    <w:rsid w:val="00AD24D7"/>
    <w:rsid w:val="00B132BA"/>
    <w:rsid w:val="00B750A1"/>
    <w:rsid w:val="00D22255"/>
    <w:rsid w:val="00E62D15"/>
    <w:rsid w:val="00E724D5"/>
    <w:rsid w:val="00EA046C"/>
    <w:rsid w:val="00EA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FF1A-429D-464F-9F4B-49F95698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outlineLvl w:val="0"/>
    </w:pPr>
    <w:rPr>
      <w:rFonts w:ascii="Comic Sans MS" w:eastAsia="Times New Roman" w:hAnsi="Comic Sans MS" w:cs="Times New Roman"/>
      <w:b/>
      <w:sz w:val="58"/>
      <w:szCs w:val="20"/>
      <w:u w:val="single"/>
    </w:rPr>
  </w:style>
  <w:style w:type="character" w:customStyle="1" w:styleId="TitleChar">
    <w:name w:val="Title Char"/>
    <w:basedOn w:val="DefaultParagraphFont"/>
    <w:link w:val="Title"/>
    <w:rPr>
      <w:rFonts w:ascii="Comic Sans MS" w:eastAsia="Times New Roman" w:hAnsi="Comic Sans MS" w:cs="Times New Roman"/>
      <w:b/>
      <w:sz w:val="58"/>
      <w:szCs w:val="20"/>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2">
    <w:name w:val="Table Grid2"/>
    <w:basedOn w:val="TableNormal"/>
    <w:next w:val="TableGrid"/>
    <w:uiPriority w:val="59"/>
    <w:rsid w:val="00B7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7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3FBA-7E1D-43F4-A114-8DBDB288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Houchen</dc:creator>
  <cp:lastModifiedBy>Neil Houchen</cp:lastModifiedBy>
  <cp:revision>5</cp:revision>
  <cp:lastPrinted>2016-06-28T09:16:00Z</cp:lastPrinted>
  <dcterms:created xsi:type="dcterms:W3CDTF">2016-06-14T09:56:00Z</dcterms:created>
  <dcterms:modified xsi:type="dcterms:W3CDTF">2017-05-12T11:51:00Z</dcterms:modified>
</cp:coreProperties>
</file>